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87D9B" w14:textId="77777777" w:rsidR="00F14596" w:rsidRPr="008D72C8" w:rsidRDefault="00F14596" w:rsidP="00F14596">
      <w:pPr>
        <w:spacing w:after="0"/>
        <w:jc w:val="center"/>
        <w:rPr>
          <w:rFonts w:ascii="Times New Roman" w:hAnsi="Times New Roman"/>
          <w:b/>
          <w:lang w:eastAsia="en-US"/>
        </w:rPr>
      </w:pPr>
      <w:r w:rsidRPr="008D72C8">
        <w:rPr>
          <w:rFonts w:ascii="Times New Roman" w:hAnsi="Times New Roman"/>
          <w:b/>
          <w:lang w:eastAsia="en-US"/>
        </w:rPr>
        <w:t>Выписка из Регламента осуществления оценки кредитоспособности лиц, привлекающих</w:t>
      </w:r>
    </w:p>
    <w:p w14:paraId="04979966" w14:textId="77777777" w:rsidR="00F14596" w:rsidRPr="008D72C8" w:rsidRDefault="00F14596" w:rsidP="00F14596">
      <w:pPr>
        <w:spacing w:after="0"/>
        <w:jc w:val="center"/>
        <w:rPr>
          <w:rFonts w:ascii="Times New Roman" w:hAnsi="Times New Roman"/>
          <w:b/>
          <w:lang w:eastAsia="en-US"/>
        </w:rPr>
      </w:pPr>
      <w:r w:rsidRPr="008D72C8">
        <w:rPr>
          <w:rFonts w:ascii="Times New Roman" w:hAnsi="Times New Roman"/>
          <w:b/>
          <w:lang w:eastAsia="en-US"/>
        </w:rPr>
        <w:t>инвестиции и лиц, намеревающихся заключить с оператором инвестиционной платформы</w:t>
      </w:r>
    </w:p>
    <w:p w14:paraId="46E49BB8" w14:textId="77777777" w:rsidR="00F14596" w:rsidRPr="008D72C8" w:rsidRDefault="00F14596" w:rsidP="00F14596">
      <w:pPr>
        <w:spacing w:after="0"/>
        <w:jc w:val="center"/>
        <w:rPr>
          <w:rFonts w:ascii="Times New Roman" w:hAnsi="Times New Roman"/>
          <w:b/>
          <w:lang w:eastAsia="en-US"/>
        </w:rPr>
      </w:pPr>
      <w:r w:rsidRPr="008D72C8">
        <w:rPr>
          <w:rFonts w:ascii="Times New Roman" w:hAnsi="Times New Roman"/>
          <w:b/>
          <w:lang w:eastAsia="en-US"/>
        </w:rPr>
        <w:t>«НибблИнвест» договор об оказании услуг по привлечению инвестиций, утвержденного</w:t>
      </w:r>
    </w:p>
    <w:p w14:paraId="31EF40EA" w14:textId="1C0CB88E" w:rsidR="00F14596" w:rsidRPr="008D72C8" w:rsidRDefault="00F14596" w:rsidP="00F14596">
      <w:pPr>
        <w:spacing w:after="0"/>
        <w:jc w:val="center"/>
        <w:rPr>
          <w:rFonts w:ascii="Times New Roman" w:hAnsi="Times New Roman"/>
          <w:b/>
          <w:lang w:eastAsia="en-US"/>
        </w:rPr>
      </w:pPr>
      <w:r w:rsidRPr="008D72C8">
        <w:rPr>
          <w:rFonts w:ascii="Times New Roman" w:hAnsi="Times New Roman"/>
          <w:b/>
          <w:lang w:eastAsia="en-US"/>
        </w:rPr>
        <w:t>приказом № 113 от 05 февраля 2026 года (вступает в силу с 05.02.2026 года)</w:t>
      </w:r>
    </w:p>
    <w:p w14:paraId="3DBEC4BD" w14:textId="77777777" w:rsidR="00F14596" w:rsidRPr="008D72C8" w:rsidRDefault="00F14596" w:rsidP="00F14596">
      <w:pPr>
        <w:spacing w:after="0"/>
        <w:jc w:val="center"/>
        <w:rPr>
          <w:rFonts w:ascii="Times New Roman" w:hAnsi="Times New Roman"/>
          <w:b/>
          <w:lang w:eastAsia="en-US"/>
        </w:rPr>
      </w:pPr>
    </w:p>
    <w:p w14:paraId="6A3F7FCF" w14:textId="5DF8EED5" w:rsidR="00E24C95" w:rsidRPr="008D72C8" w:rsidRDefault="00E24C95" w:rsidP="00F14596">
      <w:pPr>
        <w:rPr>
          <w:rFonts w:ascii="Times New Roman" w:hAnsi="Times New Roman"/>
          <w:b/>
          <w:lang w:eastAsia="en-US"/>
        </w:rPr>
      </w:pPr>
      <w:r w:rsidRPr="008D72C8">
        <w:rPr>
          <w:rFonts w:ascii="Times New Roman" w:hAnsi="Times New Roman"/>
          <w:b/>
          <w:lang w:eastAsia="en-US"/>
        </w:rPr>
        <w:t>1.Общие положения</w:t>
      </w:r>
    </w:p>
    <w:p w14:paraId="21172A34" w14:textId="2912802A" w:rsidR="00E24C95" w:rsidRPr="008D72C8" w:rsidRDefault="00E24C95" w:rsidP="00E24C95">
      <w:pPr>
        <w:jc w:val="both"/>
        <w:rPr>
          <w:rFonts w:ascii="Times New Roman" w:hAnsi="Times New Roman"/>
          <w:lang w:eastAsia="en-US"/>
        </w:rPr>
      </w:pPr>
      <w:r w:rsidRPr="008D72C8">
        <w:rPr>
          <w:rFonts w:ascii="Times New Roman" w:hAnsi="Times New Roman"/>
          <w:lang w:eastAsia="en-US"/>
        </w:rPr>
        <w:t>1.1. ООО «НибблИнвест» (далее - Оператор) проводит скоринг различных показателей</w:t>
      </w:r>
      <w:r w:rsidR="009519EC" w:rsidRPr="008D72C8">
        <w:rPr>
          <w:rFonts w:ascii="Times New Roman" w:hAnsi="Times New Roman"/>
          <w:lang w:eastAsia="en-US"/>
        </w:rPr>
        <w:t xml:space="preserve"> и оценку </w:t>
      </w:r>
      <w:r w:rsidR="0032726F" w:rsidRPr="008D72C8">
        <w:rPr>
          <w:rFonts w:ascii="Times New Roman" w:hAnsi="Times New Roman"/>
          <w:lang w:eastAsia="en-US"/>
        </w:rPr>
        <w:t xml:space="preserve">прогнозного </w:t>
      </w:r>
      <w:r w:rsidR="009519EC" w:rsidRPr="008D72C8">
        <w:rPr>
          <w:rFonts w:ascii="Times New Roman" w:hAnsi="Times New Roman"/>
          <w:lang w:eastAsia="en-US"/>
        </w:rPr>
        <w:t xml:space="preserve">чистого денежного потока </w:t>
      </w:r>
      <w:r w:rsidRPr="008D72C8">
        <w:rPr>
          <w:rFonts w:ascii="Times New Roman" w:hAnsi="Times New Roman"/>
          <w:lang w:eastAsia="en-US"/>
        </w:rPr>
        <w:t>деятельности лиц, привлекающих инвестиции (далее - ЛПИ) и лиц, намеревающихся заключить с оператором инвестиционной платформы «НибблИнвест» договор об оказании услуг по привлечению инвестиций (далее – потенциальные ЛПИ), а именно осуществляет оценку их кредитоспособности (далее - скоринг) согласно Регламента осуществления оценки кредитоспособности ЛПИ</w:t>
      </w:r>
      <w:r w:rsidR="00042F06" w:rsidRPr="008D72C8">
        <w:rPr>
          <w:rFonts w:ascii="Times New Roman" w:hAnsi="Times New Roman"/>
          <w:lang w:eastAsia="en-US"/>
        </w:rPr>
        <w:t xml:space="preserve">, </w:t>
      </w:r>
      <w:r w:rsidRPr="008D72C8">
        <w:rPr>
          <w:rFonts w:ascii="Times New Roman" w:hAnsi="Times New Roman"/>
          <w:lang w:eastAsia="en-US"/>
        </w:rPr>
        <w:t>потенциальных ЛПИ</w:t>
      </w:r>
      <w:r w:rsidR="00EA2B89" w:rsidRPr="008D72C8">
        <w:rPr>
          <w:rFonts w:ascii="Times New Roman" w:hAnsi="Times New Roman"/>
          <w:lang w:eastAsia="en-US"/>
        </w:rPr>
        <w:t xml:space="preserve"> </w:t>
      </w:r>
      <w:r w:rsidRPr="008D72C8">
        <w:rPr>
          <w:rFonts w:ascii="Times New Roman" w:hAnsi="Times New Roman"/>
          <w:lang w:eastAsia="en-US"/>
        </w:rPr>
        <w:t>(далее - регламент).</w:t>
      </w:r>
    </w:p>
    <w:p w14:paraId="10BAC5FD" w14:textId="77777777" w:rsidR="00E24C95" w:rsidRPr="008D72C8" w:rsidRDefault="00E24C95" w:rsidP="00E24C95">
      <w:pPr>
        <w:jc w:val="both"/>
        <w:rPr>
          <w:rFonts w:ascii="Times New Roman" w:hAnsi="Times New Roman"/>
          <w:lang w:eastAsia="en-US"/>
        </w:rPr>
      </w:pPr>
      <w:r w:rsidRPr="008D72C8">
        <w:rPr>
          <w:rFonts w:ascii="Times New Roman" w:hAnsi="Times New Roman"/>
          <w:lang w:eastAsia="en-US"/>
        </w:rPr>
        <w:t>1.2. Регламент разработан в соответствии с Федеральным законом от 02.08.2019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рекомендациями Центрального Банка Российской Федерации (Информационное письмо № ИН-018-34/133 от 18.11.2023) и иными нормативными правовыми актами, а также в соответствии с внутренними нормативными документами Оператора.</w:t>
      </w:r>
    </w:p>
    <w:p w14:paraId="684A3E1E" w14:textId="77777777" w:rsidR="00E24C95" w:rsidRPr="008D72C8" w:rsidRDefault="00E24C95" w:rsidP="00E24C95">
      <w:pPr>
        <w:jc w:val="both"/>
        <w:rPr>
          <w:rFonts w:ascii="Times New Roman" w:hAnsi="Times New Roman"/>
          <w:lang w:eastAsia="en-US"/>
        </w:rPr>
      </w:pPr>
      <w:r w:rsidRPr="008D72C8">
        <w:rPr>
          <w:rFonts w:ascii="Times New Roman" w:hAnsi="Times New Roman"/>
          <w:lang w:eastAsia="en-US"/>
        </w:rPr>
        <w:t>1.3. Настоящий Регламент обязателен к соблюдению всеми работниками Оператора.</w:t>
      </w:r>
    </w:p>
    <w:p w14:paraId="033E027B" w14:textId="77777777" w:rsidR="00E24C95" w:rsidRPr="008D72C8" w:rsidRDefault="00E24C95" w:rsidP="00E24C95">
      <w:pPr>
        <w:jc w:val="both"/>
        <w:rPr>
          <w:rFonts w:ascii="Times New Roman" w:hAnsi="Times New Roman"/>
          <w:lang w:eastAsia="en-US"/>
        </w:rPr>
      </w:pPr>
      <w:r w:rsidRPr="008D72C8">
        <w:rPr>
          <w:rFonts w:ascii="Times New Roman" w:hAnsi="Times New Roman"/>
          <w:lang w:eastAsia="en-US"/>
        </w:rPr>
        <w:t>1.4. Проверка потенциальных ЛПИ</w:t>
      </w:r>
      <w:r w:rsidR="00DE05D7" w:rsidRPr="008D72C8">
        <w:rPr>
          <w:rFonts w:ascii="Times New Roman" w:hAnsi="Times New Roman"/>
          <w:lang w:eastAsia="en-US"/>
        </w:rPr>
        <w:t xml:space="preserve">, </w:t>
      </w:r>
      <w:r w:rsidRPr="008D72C8">
        <w:rPr>
          <w:rFonts w:ascii="Times New Roman" w:hAnsi="Times New Roman"/>
          <w:lang w:eastAsia="en-US"/>
        </w:rPr>
        <w:t>ЛПИ осуществляется ответственным сотрудником Оператора – андеррайтером, в необходимых случаях руководителем и/или сотрудниками внутренних структурных подразделений Оператора.</w:t>
      </w:r>
    </w:p>
    <w:p w14:paraId="7CF1ECA4" w14:textId="72124BDF" w:rsidR="00E24C95" w:rsidRPr="008D72C8" w:rsidRDefault="00E24C95" w:rsidP="00E24C95">
      <w:pPr>
        <w:jc w:val="both"/>
        <w:rPr>
          <w:rFonts w:ascii="Times New Roman" w:hAnsi="Times New Roman"/>
          <w:lang w:eastAsia="en-US"/>
        </w:rPr>
      </w:pPr>
      <w:r w:rsidRPr="008D72C8">
        <w:rPr>
          <w:rFonts w:ascii="Times New Roman" w:hAnsi="Times New Roman"/>
          <w:lang w:eastAsia="en-US"/>
        </w:rPr>
        <w:t xml:space="preserve">1.5. </w:t>
      </w:r>
      <w:bookmarkStart w:id="0" w:name="_Hlk154668866"/>
      <w:r w:rsidRPr="008D72C8">
        <w:rPr>
          <w:rFonts w:ascii="Times New Roman" w:hAnsi="Times New Roman"/>
          <w:lang w:eastAsia="en-US"/>
        </w:rPr>
        <w:t>Результаты оценки фиксируются ответственным сотрудником в оценочн</w:t>
      </w:r>
      <w:r w:rsidR="00765ECD" w:rsidRPr="008D72C8">
        <w:rPr>
          <w:rFonts w:ascii="Times New Roman" w:hAnsi="Times New Roman"/>
          <w:lang w:eastAsia="en-US"/>
        </w:rPr>
        <w:t>ом</w:t>
      </w:r>
      <w:r w:rsidRPr="008D72C8">
        <w:rPr>
          <w:rFonts w:ascii="Times New Roman" w:hAnsi="Times New Roman"/>
          <w:lang w:eastAsia="en-US"/>
        </w:rPr>
        <w:t xml:space="preserve"> лист</w:t>
      </w:r>
      <w:r w:rsidR="00765ECD" w:rsidRPr="008D72C8">
        <w:rPr>
          <w:rFonts w:ascii="Times New Roman" w:hAnsi="Times New Roman"/>
          <w:lang w:eastAsia="en-US"/>
        </w:rPr>
        <w:t>е</w:t>
      </w:r>
      <w:r w:rsidRPr="008D72C8">
        <w:rPr>
          <w:rFonts w:ascii="Times New Roman" w:hAnsi="Times New Roman"/>
          <w:lang w:eastAsia="en-US"/>
        </w:rPr>
        <w:t xml:space="preserve"> по форм</w:t>
      </w:r>
      <w:r w:rsidR="003065A6" w:rsidRPr="008D72C8">
        <w:rPr>
          <w:rFonts w:ascii="Times New Roman" w:hAnsi="Times New Roman"/>
          <w:lang w:eastAsia="en-US"/>
        </w:rPr>
        <w:t>ам</w:t>
      </w:r>
      <w:r w:rsidRPr="008D72C8">
        <w:rPr>
          <w:rFonts w:ascii="Times New Roman" w:hAnsi="Times New Roman"/>
          <w:lang w:eastAsia="en-US"/>
        </w:rPr>
        <w:t xml:space="preserve"> согласно приложени</w:t>
      </w:r>
      <w:r w:rsidR="003065A6" w:rsidRPr="008D72C8">
        <w:rPr>
          <w:rFonts w:ascii="Times New Roman" w:hAnsi="Times New Roman"/>
          <w:lang w:eastAsia="en-US"/>
        </w:rPr>
        <w:t>ям №1</w:t>
      </w:r>
      <w:r w:rsidR="001D7AA8" w:rsidRPr="008D72C8">
        <w:rPr>
          <w:rFonts w:ascii="Times New Roman" w:hAnsi="Times New Roman"/>
          <w:lang w:eastAsia="en-US"/>
        </w:rPr>
        <w:t xml:space="preserve">, </w:t>
      </w:r>
      <w:r w:rsidR="003065A6" w:rsidRPr="008D72C8">
        <w:rPr>
          <w:rFonts w:ascii="Times New Roman" w:hAnsi="Times New Roman"/>
          <w:lang w:eastAsia="en-US"/>
        </w:rPr>
        <w:t>№2</w:t>
      </w:r>
      <w:r w:rsidR="0032726F" w:rsidRPr="008D72C8">
        <w:rPr>
          <w:rFonts w:ascii="Times New Roman" w:hAnsi="Times New Roman"/>
          <w:lang w:eastAsia="en-US"/>
        </w:rPr>
        <w:t xml:space="preserve">, </w:t>
      </w:r>
      <w:r w:rsidR="001D7AA8" w:rsidRPr="008D72C8">
        <w:rPr>
          <w:rFonts w:ascii="Times New Roman" w:hAnsi="Times New Roman"/>
          <w:lang w:eastAsia="en-US"/>
        </w:rPr>
        <w:t>№3</w:t>
      </w:r>
      <w:r w:rsidR="006524A1" w:rsidRPr="008D72C8">
        <w:rPr>
          <w:rFonts w:ascii="Times New Roman" w:hAnsi="Times New Roman"/>
          <w:lang w:eastAsia="en-US"/>
        </w:rPr>
        <w:t>, №4</w:t>
      </w:r>
      <w:r w:rsidR="001D7AA8" w:rsidRPr="008D72C8">
        <w:rPr>
          <w:rFonts w:ascii="Times New Roman" w:hAnsi="Times New Roman"/>
          <w:lang w:eastAsia="en-US"/>
        </w:rPr>
        <w:t xml:space="preserve"> </w:t>
      </w:r>
      <w:r w:rsidRPr="008D72C8">
        <w:rPr>
          <w:rFonts w:ascii="Times New Roman" w:hAnsi="Times New Roman"/>
          <w:lang w:eastAsia="en-US"/>
        </w:rPr>
        <w:t>к настоящему регламенту.</w:t>
      </w:r>
      <w:bookmarkEnd w:id="0"/>
    </w:p>
    <w:p w14:paraId="6810461D" w14:textId="14655759" w:rsidR="00E24C95" w:rsidRPr="008D72C8" w:rsidRDefault="00E24C95" w:rsidP="00E24C95">
      <w:pPr>
        <w:jc w:val="both"/>
        <w:rPr>
          <w:rFonts w:ascii="Times New Roman" w:hAnsi="Times New Roman"/>
          <w:lang w:eastAsia="en-US"/>
        </w:rPr>
      </w:pPr>
      <w:r w:rsidRPr="008D72C8">
        <w:rPr>
          <w:rFonts w:ascii="Times New Roman" w:hAnsi="Times New Roman"/>
          <w:lang w:eastAsia="en-US"/>
        </w:rPr>
        <w:t xml:space="preserve">1.6. Скоринг </w:t>
      </w:r>
      <w:bookmarkStart w:id="1" w:name="_Hlk193202455"/>
      <w:bookmarkStart w:id="2" w:name="_Hlk154137732"/>
      <w:r w:rsidRPr="008D72C8">
        <w:rPr>
          <w:rFonts w:ascii="Times New Roman" w:hAnsi="Times New Roman"/>
          <w:lang w:eastAsia="en-US"/>
        </w:rPr>
        <w:t xml:space="preserve">потенциальных </w:t>
      </w:r>
      <w:bookmarkStart w:id="3" w:name="_Hlk192840990"/>
      <w:r w:rsidRPr="008D72C8">
        <w:rPr>
          <w:rFonts w:ascii="Times New Roman" w:hAnsi="Times New Roman"/>
          <w:lang w:eastAsia="en-US"/>
        </w:rPr>
        <w:t>ЛПИ</w:t>
      </w:r>
      <w:r w:rsidR="0032726F" w:rsidRPr="008D72C8">
        <w:rPr>
          <w:rFonts w:ascii="Times New Roman" w:hAnsi="Times New Roman"/>
          <w:lang w:eastAsia="en-US"/>
        </w:rPr>
        <w:t>/</w:t>
      </w:r>
      <w:r w:rsidRPr="008D72C8">
        <w:rPr>
          <w:rFonts w:ascii="Times New Roman" w:hAnsi="Times New Roman"/>
          <w:lang w:eastAsia="en-US"/>
        </w:rPr>
        <w:t>ЛПИ</w:t>
      </w:r>
      <w:bookmarkEnd w:id="1"/>
      <w:r w:rsidR="006524A1" w:rsidRPr="008D72C8">
        <w:rPr>
          <w:rFonts w:ascii="Times New Roman" w:hAnsi="Times New Roman"/>
          <w:lang w:eastAsia="en-US"/>
        </w:rPr>
        <w:t xml:space="preserve"> и о</w:t>
      </w:r>
      <w:r w:rsidR="0032726F" w:rsidRPr="008D72C8">
        <w:rPr>
          <w:rFonts w:ascii="Times New Roman" w:hAnsi="Times New Roman"/>
          <w:lang w:eastAsia="en-US"/>
        </w:rPr>
        <w:t>ценка чистого денежного потока (NCF) инвестиционного коммерческого проекта потенциальных ЛПИ/ЛПИ</w:t>
      </w:r>
      <w:r w:rsidRPr="008D72C8">
        <w:rPr>
          <w:rFonts w:ascii="Times New Roman" w:hAnsi="Times New Roman"/>
          <w:lang w:eastAsia="en-US"/>
        </w:rPr>
        <w:t xml:space="preserve"> </w:t>
      </w:r>
      <w:bookmarkEnd w:id="2"/>
      <w:bookmarkEnd w:id="3"/>
      <w:r w:rsidRPr="008D72C8">
        <w:rPr>
          <w:rFonts w:ascii="Times New Roman" w:hAnsi="Times New Roman"/>
          <w:lang w:eastAsia="en-US"/>
        </w:rPr>
        <w:t xml:space="preserve">осуществляется одновременно с проверкой, установленной в Регламенте осуществления проверок лиц, привлекающих инвестиции и лиц, намеревающихся заключить с оператором инвестиционной платформы «НибблИнвест» договор об оказании услуг по привлечению инвестиций, утвержденный приказом генерального директора в рамках срока установленного в п. </w:t>
      </w:r>
      <w:r w:rsidR="00FA7455" w:rsidRPr="008D72C8">
        <w:rPr>
          <w:rFonts w:ascii="Times New Roman" w:hAnsi="Times New Roman"/>
          <w:lang w:eastAsia="en-US"/>
        </w:rPr>
        <w:t>6</w:t>
      </w:r>
      <w:r w:rsidRPr="008D72C8">
        <w:rPr>
          <w:rFonts w:ascii="Times New Roman" w:hAnsi="Times New Roman"/>
          <w:lang w:eastAsia="en-US"/>
        </w:rPr>
        <w:t>.1 настоящего регламента.</w:t>
      </w:r>
      <w:r w:rsidR="00F36687" w:rsidRPr="008D72C8">
        <w:rPr>
          <w:rFonts w:ascii="Times New Roman" w:hAnsi="Times New Roman"/>
          <w:lang w:eastAsia="en-US"/>
        </w:rPr>
        <w:br/>
      </w:r>
    </w:p>
    <w:p w14:paraId="535EC517" w14:textId="0F840236" w:rsidR="00E24C95" w:rsidRPr="008D72C8" w:rsidRDefault="008F5463" w:rsidP="00E24C95">
      <w:pPr>
        <w:jc w:val="both"/>
        <w:rPr>
          <w:rFonts w:ascii="Times New Roman" w:hAnsi="Times New Roman"/>
          <w:b/>
          <w:bCs/>
          <w:lang w:eastAsia="en-US"/>
        </w:rPr>
      </w:pPr>
      <w:r w:rsidRPr="008D72C8">
        <w:rPr>
          <w:rFonts w:ascii="Times New Roman" w:hAnsi="Times New Roman"/>
          <w:b/>
          <w:bCs/>
          <w:lang w:eastAsia="en-US"/>
        </w:rPr>
        <w:t>2. Первоначальная проверка потенциальных ЛПИ и ЛПИ</w:t>
      </w:r>
    </w:p>
    <w:p w14:paraId="75BBD52D" w14:textId="77777777" w:rsidR="008F5463" w:rsidRPr="008D72C8" w:rsidRDefault="008F5463" w:rsidP="00800515">
      <w:pPr>
        <w:jc w:val="both"/>
        <w:rPr>
          <w:rFonts w:ascii="Times New Roman" w:hAnsi="Times New Roman"/>
          <w:lang w:eastAsia="en-US"/>
        </w:rPr>
      </w:pPr>
      <w:r w:rsidRPr="008D72C8">
        <w:rPr>
          <w:rFonts w:ascii="Times New Roman" w:hAnsi="Times New Roman"/>
          <w:lang w:eastAsia="en-US"/>
        </w:rPr>
        <w:t>После проведенной проверки</w:t>
      </w:r>
      <w:r w:rsidR="007F1590" w:rsidRPr="008D72C8">
        <w:rPr>
          <w:rFonts w:ascii="Times New Roman" w:hAnsi="Times New Roman"/>
          <w:lang w:eastAsia="en-US"/>
        </w:rPr>
        <w:t xml:space="preserve"> потенциальных ЛПИ/ЛПИ</w:t>
      </w:r>
      <w:r w:rsidR="003D0956" w:rsidRPr="008D72C8">
        <w:rPr>
          <w:rFonts w:ascii="Times New Roman" w:hAnsi="Times New Roman"/>
          <w:lang w:eastAsia="en-US"/>
        </w:rPr>
        <w:t xml:space="preserve">, </w:t>
      </w:r>
      <w:r w:rsidRPr="008D72C8">
        <w:rPr>
          <w:rFonts w:ascii="Times New Roman" w:hAnsi="Times New Roman"/>
          <w:lang w:eastAsia="en-US"/>
        </w:rPr>
        <w:t xml:space="preserve">установленной </w:t>
      </w:r>
      <w:r w:rsidR="0032266C" w:rsidRPr="008D72C8">
        <w:rPr>
          <w:rFonts w:ascii="Times New Roman" w:hAnsi="Times New Roman"/>
          <w:lang w:eastAsia="en-US"/>
        </w:rPr>
        <w:t>в Регламенте осуществления проверок лиц, привлекающих инвестиции и лиц, намеревающихся заключить с оператором инвестиционной платформы «НибблИнвест» договор об оказании услуг по привлечению инвестиций</w:t>
      </w:r>
      <w:r w:rsidR="007F1590" w:rsidRPr="008D72C8">
        <w:rPr>
          <w:rFonts w:ascii="Times New Roman" w:hAnsi="Times New Roman"/>
          <w:lang w:eastAsia="en-US"/>
        </w:rPr>
        <w:t xml:space="preserve"> (далее – Регламент 2)</w:t>
      </w:r>
      <w:r w:rsidR="0032266C" w:rsidRPr="008D72C8">
        <w:rPr>
          <w:rFonts w:ascii="Times New Roman" w:hAnsi="Times New Roman"/>
          <w:lang w:eastAsia="en-US"/>
        </w:rPr>
        <w:t xml:space="preserve">, </w:t>
      </w:r>
      <w:r w:rsidR="007F1590" w:rsidRPr="008D72C8">
        <w:rPr>
          <w:rFonts w:ascii="Times New Roman" w:hAnsi="Times New Roman"/>
          <w:lang w:eastAsia="en-US"/>
        </w:rPr>
        <w:t xml:space="preserve">потенциальные ЛПИ/ЛПИ </w:t>
      </w:r>
      <w:r w:rsidR="0032266C" w:rsidRPr="008D72C8">
        <w:rPr>
          <w:rFonts w:ascii="Times New Roman" w:hAnsi="Times New Roman"/>
          <w:lang w:eastAsia="en-US"/>
        </w:rPr>
        <w:t>имеющ</w:t>
      </w:r>
      <w:r w:rsidR="00DC6141" w:rsidRPr="008D72C8">
        <w:rPr>
          <w:rFonts w:ascii="Times New Roman" w:hAnsi="Times New Roman"/>
          <w:lang w:eastAsia="en-US"/>
        </w:rPr>
        <w:t>ие</w:t>
      </w:r>
      <w:r w:rsidR="0032266C" w:rsidRPr="008D72C8">
        <w:rPr>
          <w:rFonts w:ascii="Times New Roman" w:hAnsi="Times New Roman"/>
          <w:lang w:eastAsia="en-US"/>
        </w:rPr>
        <w:t xml:space="preserve"> положительное </w:t>
      </w:r>
      <w:r w:rsidR="007F1590" w:rsidRPr="008D72C8">
        <w:rPr>
          <w:rFonts w:ascii="Times New Roman" w:hAnsi="Times New Roman"/>
          <w:lang w:eastAsia="en-US"/>
        </w:rPr>
        <w:t xml:space="preserve">решение, направляются на дальнейшую </w:t>
      </w:r>
      <w:r w:rsidR="0032266C" w:rsidRPr="008D72C8">
        <w:rPr>
          <w:rFonts w:ascii="Times New Roman" w:hAnsi="Times New Roman"/>
          <w:lang w:eastAsia="en-US"/>
        </w:rPr>
        <w:t>верификаци</w:t>
      </w:r>
      <w:r w:rsidR="007F1590" w:rsidRPr="008D72C8">
        <w:rPr>
          <w:rFonts w:ascii="Times New Roman" w:hAnsi="Times New Roman"/>
          <w:lang w:eastAsia="en-US"/>
        </w:rPr>
        <w:t>ю.</w:t>
      </w:r>
    </w:p>
    <w:p w14:paraId="41EE06AD" w14:textId="77777777" w:rsidR="0032266C" w:rsidRPr="008D72C8" w:rsidRDefault="0032266C" w:rsidP="00800515">
      <w:pPr>
        <w:jc w:val="both"/>
        <w:rPr>
          <w:rFonts w:ascii="Times New Roman" w:hAnsi="Times New Roman"/>
          <w:lang w:eastAsia="en-US"/>
        </w:rPr>
      </w:pPr>
      <w:r w:rsidRPr="008D72C8">
        <w:rPr>
          <w:rFonts w:ascii="Times New Roman" w:hAnsi="Times New Roman"/>
          <w:lang w:eastAsia="en-US"/>
        </w:rPr>
        <w:t xml:space="preserve">Предоставленные документы должны быть действительными и иметь актуальный срок действия. </w:t>
      </w:r>
      <w:r w:rsidR="007F1590" w:rsidRPr="008D72C8">
        <w:rPr>
          <w:rFonts w:ascii="Times New Roman" w:hAnsi="Times New Roman"/>
          <w:lang w:eastAsia="en-US"/>
        </w:rPr>
        <w:t xml:space="preserve">При необходимости, запрашиваются </w:t>
      </w:r>
      <w:r w:rsidR="00F34849" w:rsidRPr="008D72C8">
        <w:rPr>
          <w:rFonts w:ascii="Times New Roman" w:hAnsi="Times New Roman"/>
          <w:lang w:eastAsia="en-US"/>
        </w:rPr>
        <w:t>дополнительные документы</w:t>
      </w:r>
      <w:r w:rsidR="007F1590" w:rsidRPr="008D72C8">
        <w:rPr>
          <w:rFonts w:ascii="Times New Roman" w:hAnsi="Times New Roman"/>
          <w:lang w:eastAsia="en-US"/>
        </w:rPr>
        <w:t>.</w:t>
      </w:r>
    </w:p>
    <w:p w14:paraId="6382E0E7" w14:textId="56557D13" w:rsidR="00A41807" w:rsidRPr="008D72C8" w:rsidRDefault="0030175D" w:rsidP="00800515">
      <w:pPr>
        <w:jc w:val="both"/>
        <w:rPr>
          <w:rFonts w:ascii="Times New Roman" w:hAnsi="Times New Roman"/>
          <w:b/>
          <w:bCs/>
          <w:lang w:eastAsia="en-US"/>
        </w:rPr>
      </w:pPr>
      <w:r w:rsidRPr="008D72C8">
        <w:rPr>
          <w:rFonts w:ascii="Times New Roman" w:hAnsi="Times New Roman"/>
          <w:b/>
          <w:bCs/>
          <w:lang w:eastAsia="en-US"/>
        </w:rPr>
        <w:t xml:space="preserve">3. </w:t>
      </w:r>
      <w:r w:rsidR="0049458E" w:rsidRPr="008D72C8">
        <w:rPr>
          <w:rFonts w:ascii="Times New Roman" w:hAnsi="Times New Roman"/>
          <w:b/>
          <w:bCs/>
          <w:lang w:eastAsia="en-US"/>
        </w:rPr>
        <w:t>Скорингов</w:t>
      </w:r>
      <w:r w:rsidR="007F1590" w:rsidRPr="008D72C8">
        <w:rPr>
          <w:rFonts w:ascii="Times New Roman" w:hAnsi="Times New Roman"/>
          <w:b/>
          <w:bCs/>
          <w:lang w:eastAsia="en-US"/>
        </w:rPr>
        <w:t>ая</w:t>
      </w:r>
      <w:r w:rsidR="0049458E" w:rsidRPr="008D72C8">
        <w:rPr>
          <w:rFonts w:ascii="Times New Roman" w:hAnsi="Times New Roman"/>
          <w:b/>
          <w:bCs/>
          <w:lang w:eastAsia="en-US"/>
        </w:rPr>
        <w:t xml:space="preserve"> о</w:t>
      </w:r>
      <w:r w:rsidRPr="008D72C8">
        <w:rPr>
          <w:rFonts w:ascii="Times New Roman" w:hAnsi="Times New Roman"/>
          <w:b/>
          <w:bCs/>
          <w:lang w:eastAsia="en-US"/>
        </w:rPr>
        <w:t>ценк</w:t>
      </w:r>
      <w:r w:rsidR="007F1590" w:rsidRPr="008D72C8">
        <w:rPr>
          <w:rFonts w:ascii="Times New Roman" w:hAnsi="Times New Roman"/>
          <w:b/>
          <w:bCs/>
          <w:lang w:eastAsia="en-US"/>
        </w:rPr>
        <w:t>а</w:t>
      </w:r>
      <w:r w:rsidRPr="008D72C8">
        <w:rPr>
          <w:rFonts w:ascii="Times New Roman" w:hAnsi="Times New Roman"/>
          <w:b/>
          <w:bCs/>
          <w:lang w:eastAsia="en-US"/>
        </w:rPr>
        <w:t xml:space="preserve"> рейтинг</w:t>
      </w:r>
      <w:r w:rsidR="003C499E" w:rsidRPr="008D72C8">
        <w:rPr>
          <w:rFonts w:ascii="Times New Roman" w:hAnsi="Times New Roman"/>
          <w:b/>
          <w:bCs/>
          <w:lang w:eastAsia="en-US"/>
        </w:rPr>
        <w:t>ов</w:t>
      </w:r>
      <w:r w:rsidRPr="008D72C8">
        <w:rPr>
          <w:rFonts w:ascii="Times New Roman" w:hAnsi="Times New Roman"/>
          <w:b/>
          <w:bCs/>
          <w:lang w:eastAsia="en-US"/>
        </w:rPr>
        <w:t xml:space="preserve"> кредитоспособности</w:t>
      </w:r>
      <w:r w:rsidR="00E4072F" w:rsidRPr="008D72C8">
        <w:rPr>
          <w:rFonts w:ascii="Times New Roman" w:hAnsi="Times New Roman"/>
          <w:b/>
          <w:bCs/>
          <w:lang w:eastAsia="en-US"/>
        </w:rPr>
        <w:t xml:space="preserve"> и финансового положения</w:t>
      </w:r>
      <w:r w:rsidR="006F34E5" w:rsidRPr="008D72C8">
        <w:rPr>
          <w:rFonts w:ascii="Times New Roman" w:hAnsi="Times New Roman"/>
          <w:b/>
          <w:bCs/>
          <w:lang w:eastAsia="en-US"/>
        </w:rPr>
        <w:t>, кредитоспособности проекта</w:t>
      </w:r>
      <w:r w:rsidR="00E4072F" w:rsidRPr="008D72C8">
        <w:rPr>
          <w:rFonts w:ascii="Times New Roman" w:hAnsi="Times New Roman"/>
          <w:b/>
          <w:bCs/>
          <w:lang w:eastAsia="en-US"/>
        </w:rPr>
        <w:t xml:space="preserve"> </w:t>
      </w:r>
      <w:r w:rsidR="004E34EE" w:rsidRPr="008D72C8">
        <w:rPr>
          <w:rFonts w:ascii="Times New Roman" w:hAnsi="Times New Roman"/>
          <w:b/>
          <w:bCs/>
          <w:lang w:eastAsia="en-US"/>
        </w:rPr>
        <w:t>для</w:t>
      </w:r>
      <w:r w:rsidR="0032726F" w:rsidRPr="008D72C8">
        <w:rPr>
          <w:rFonts w:ascii="Times New Roman" w:hAnsi="Times New Roman"/>
          <w:lang w:eastAsia="en-US"/>
        </w:rPr>
        <w:t xml:space="preserve"> потенциальных ЛПИ /ЛПИ</w:t>
      </w:r>
      <w:r w:rsidR="004E34EE" w:rsidRPr="008D72C8">
        <w:rPr>
          <w:rFonts w:ascii="Times New Roman" w:hAnsi="Times New Roman"/>
          <w:b/>
          <w:bCs/>
          <w:lang w:eastAsia="en-US"/>
        </w:rPr>
        <w:t xml:space="preserve"> со сроком </w:t>
      </w:r>
      <w:r w:rsidR="004C553C" w:rsidRPr="008D72C8">
        <w:rPr>
          <w:rFonts w:ascii="Times New Roman" w:hAnsi="Times New Roman"/>
          <w:b/>
          <w:bCs/>
          <w:lang w:eastAsia="en-US"/>
        </w:rPr>
        <w:t xml:space="preserve">государственной </w:t>
      </w:r>
      <w:r w:rsidR="00440B7B" w:rsidRPr="008D72C8">
        <w:rPr>
          <w:rFonts w:ascii="Times New Roman" w:hAnsi="Times New Roman"/>
          <w:b/>
          <w:bCs/>
          <w:lang w:eastAsia="en-US"/>
        </w:rPr>
        <w:t>регистрации</w:t>
      </w:r>
      <w:r w:rsidR="004E34EE" w:rsidRPr="008D72C8">
        <w:rPr>
          <w:rFonts w:ascii="Times New Roman" w:hAnsi="Times New Roman"/>
          <w:b/>
          <w:bCs/>
          <w:lang w:eastAsia="en-US"/>
        </w:rPr>
        <w:t xml:space="preserve"> не менее </w:t>
      </w:r>
      <w:r w:rsidR="00B6349C" w:rsidRPr="008D72C8">
        <w:rPr>
          <w:rFonts w:ascii="Times New Roman" w:hAnsi="Times New Roman"/>
          <w:b/>
          <w:bCs/>
          <w:lang w:eastAsia="en-US"/>
        </w:rPr>
        <w:t>12</w:t>
      </w:r>
      <w:r w:rsidR="004E34EE" w:rsidRPr="008D72C8">
        <w:rPr>
          <w:rFonts w:ascii="Times New Roman" w:hAnsi="Times New Roman"/>
          <w:b/>
          <w:bCs/>
          <w:lang w:eastAsia="en-US"/>
        </w:rPr>
        <w:t xml:space="preserve"> месяцев</w:t>
      </w:r>
    </w:p>
    <w:p w14:paraId="2EFAF7C1" w14:textId="77777777" w:rsidR="00E4072F" w:rsidRPr="008D72C8" w:rsidRDefault="00E4072F" w:rsidP="00800515">
      <w:pPr>
        <w:jc w:val="both"/>
        <w:rPr>
          <w:rFonts w:ascii="Times New Roman" w:hAnsi="Times New Roman"/>
          <w:lang w:eastAsia="en-US"/>
        </w:rPr>
      </w:pPr>
      <w:r w:rsidRPr="008D72C8">
        <w:rPr>
          <w:rFonts w:ascii="Times New Roman" w:hAnsi="Times New Roman"/>
          <w:lang w:eastAsia="en-US"/>
        </w:rPr>
        <w:lastRenderedPageBreak/>
        <w:t>При оценке рейтингов кредитоспособности и</w:t>
      </w:r>
      <w:r w:rsidRPr="008D72C8">
        <w:rPr>
          <w:rFonts w:ascii="Times New Roman" w:hAnsi="Times New Roman"/>
          <w:b/>
          <w:bCs/>
          <w:lang w:eastAsia="en-US"/>
        </w:rPr>
        <w:t xml:space="preserve"> </w:t>
      </w:r>
      <w:r w:rsidRPr="008D72C8">
        <w:rPr>
          <w:rFonts w:ascii="Times New Roman" w:hAnsi="Times New Roman"/>
          <w:lang w:eastAsia="en-US"/>
        </w:rPr>
        <w:t xml:space="preserve">финансового положения </w:t>
      </w:r>
      <w:r w:rsidR="003C499E" w:rsidRPr="008D72C8">
        <w:rPr>
          <w:rFonts w:ascii="Times New Roman" w:hAnsi="Times New Roman"/>
          <w:lang w:eastAsia="en-US"/>
        </w:rPr>
        <w:t>потенциальн</w:t>
      </w:r>
      <w:r w:rsidR="007F1590" w:rsidRPr="008D72C8">
        <w:rPr>
          <w:rFonts w:ascii="Times New Roman" w:hAnsi="Times New Roman"/>
          <w:lang w:eastAsia="en-US"/>
        </w:rPr>
        <w:t>ых</w:t>
      </w:r>
      <w:r w:rsidR="003C499E" w:rsidRPr="008D72C8">
        <w:rPr>
          <w:rFonts w:ascii="Times New Roman" w:hAnsi="Times New Roman"/>
          <w:lang w:eastAsia="en-US"/>
        </w:rPr>
        <w:t xml:space="preserve"> ЛПИ/ЛПИ </w:t>
      </w:r>
      <w:r w:rsidRPr="008D72C8">
        <w:rPr>
          <w:rFonts w:ascii="Times New Roman" w:hAnsi="Times New Roman"/>
          <w:lang w:eastAsia="en-US"/>
        </w:rPr>
        <w:t>учитывается ряд показателей, основные из которых это:</w:t>
      </w:r>
    </w:p>
    <w:p w14:paraId="6CFF67ED"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изменение кредитового оборота в динамике;</w:t>
      </w:r>
    </w:p>
    <w:p w14:paraId="1D42CD82"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уровень долговой нагрузки;</w:t>
      </w:r>
    </w:p>
    <w:p w14:paraId="26D2C8F9"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качество кредитной дисциплины;</w:t>
      </w:r>
    </w:p>
    <w:p w14:paraId="7F74BCA3" w14:textId="77777777" w:rsidR="00E4072F" w:rsidRPr="008D72C8" w:rsidRDefault="00E4072F" w:rsidP="00FD1041">
      <w:pPr>
        <w:numPr>
          <w:ilvl w:val="0"/>
          <w:numId w:val="1"/>
        </w:numPr>
        <w:spacing w:after="0"/>
        <w:rPr>
          <w:rFonts w:ascii="Times New Roman" w:hAnsi="Times New Roman"/>
          <w:lang w:eastAsia="en-US"/>
        </w:rPr>
      </w:pPr>
      <w:r w:rsidRPr="008D72C8">
        <w:rPr>
          <w:rFonts w:ascii="Times New Roman" w:hAnsi="Times New Roman"/>
          <w:lang w:eastAsia="en-US"/>
        </w:rPr>
        <w:t>наличие госконтрактов в рамках 44-ФЗ и 223-ФЗ;</w:t>
      </w:r>
    </w:p>
    <w:p w14:paraId="3C75C4A8"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 xml:space="preserve">наличие связанных компаний у </w:t>
      </w:r>
      <w:r w:rsidR="00E73428" w:rsidRPr="008D72C8">
        <w:rPr>
          <w:rFonts w:ascii="Times New Roman" w:hAnsi="Times New Roman"/>
          <w:lang w:eastAsia="en-US"/>
        </w:rPr>
        <w:t>потенциальн</w:t>
      </w:r>
      <w:r w:rsidR="007F1590" w:rsidRPr="008D72C8">
        <w:rPr>
          <w:rFonts w:ascii="Times New Roman" w:hAnsi="Times New Roman"/>
          <w:lang w:eastAsia="en-US"/>
        </w:rPr>
        <w:t>ых</w:t>
      </w:r>
      <w:r w:rsidR="00E73428" w:rsidRPr="008D72C8">
        <w:rPr>
          <w:rFonts w:ascii="Times New Roman" w:hAnsi="Times New Roman"/>
          <w:lang w:eastAsia="en-US"/>
        </w:rPr>
        <w:t xml:space="preserve"> ЛПИ/ЛПИ</w:t>
      </w:r>
      <w:r w:rsidRPr="008D72C8">
        <w:rPr>
          <w:rFonts w:ascii="Times New Roman" w:hAnsi="Times New Roman"/>
          <w:lang w:eastAsia="en-US"/>
        </w:rPr>
        <w:t>;</w:t>
      </w:r>
    </w:p>
    <w:p w14:paraId="0D063C39"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 xml:space="preserve">срок работы </w:t>
      </w:r>
      <w:r w:rsidR="00E73428" w:rsidRPr="008D72C8">
        <w:rPr>
          <w:rFonts w:ascii="Times New Roman" w:hAnsi="Times New Roman"/>
          <w:lang w:eastAsia="en-US"/>
        </w:rPr>
        <w:t>потенциальн</w:t>
      </w:r>
      <w:r w:rsidR="007F1590" w:rsidRPr="008D72C8">
        <w:rPr>
          <w:rFonts w:ascii="Times New Roman" w:hAnsi="Times New Roman"/>
          <w:lang w:eastAsia="en-US"/>
        </w:rPr>
        <w:t>ых</w:t>
      </w:r>
      <w:r w:rsidR="00E73428" w:rsidRPr="008D72C8">
        <w:rPr>
          <w:rFonts w:ascii="Times New Roman" w:hAnsi="Times New Roman"/>
          <w:lang w:eastAsia="en-US"/>
        </w:rPr>
        <w:t xml:space="preserve"> ЛПИ/ЛПИ</w:t>
      </w:r>
      <w:r w:rsidRPr="008D72C8">
        <w:rPr>
          <w:rFonts w:ascii="Times New Roman" w:hAnsi="Times New Roman"/>
          <w:lang w:eastAsia="en-US"/>
        </w:rPr>
        <w:t xml:space="preserve"> с момента регистрации в месяцах;</w:t>
      </w:r>
    </w:p>
    <w:p w14:paraId="43410C5B"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количество контрагентов по расчетному счету;</w:t>
      </w:r>
    </w:p>
    <w:p w14:paraId="3183DAFF"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действующих займов у Оператора без просроченной задолженности;</w:t>
      </w:r>
    </w:p>
    <w:p w14:paraId="2A753D9B"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судебных дел в качестве ответчика;</w:t>
      </w:r>
    </w:p>
    <w:p w14:paraId="6EC93C65"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задолженности по налоговым платежам;</w:t>
      </w:r>
    </w:p>
    <w:p w14:paraId="391EEDC5"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среднемесячная выручка;</w:t>
      </w:r>
    </w:p>
    <w:p w14:paraId="72947ACD"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просроченной задолженности перед бюджетом;</w:t>
      </w:r>
    </w:p>
    <w:p w14:paraId="4537FB51" w14:textId="77777777" w:rsidR="00E4072F" w:rsidRPr="008D72C8" w:rsidRDefault="00E4072F" w:rsidP="00FD1041">
      <w:pPr>
        <w:numPr>
          <w:ilvl w:val="0"/>
          <w:numId w:val="1"/>
        </w:numPr>
        <w:spacing w:after="0"/>
        <w:jc w:val="both"/>
        <w:rPr>
          <w:rFonts w:ascii="Times New Roman" w:hAnsi="Times New Roman"/>
          <w:lang w:eastAsia="en-US"/>
        </w:rPr>
      </w:pPr>
      <w:r w:rsidRPr="008D72C8">
        <w:rPr>
          <w:rFonts w:ascii="Times New Roman" w:hAnsi="Times New Roman"/>
          <w:lang w:eastAsia="en-US"/>
        </w:rPr>
        <w:t>принадлежность активов компании</w:t>
      </w:r>
      <w:r w:rsidR="00E73428" w:rsidRPr="008D72C8">
        <w:rPr>
          <w:rFonts w:ascii="Times New Roman" w:hAnsi="Times New Roman"/>
          <w:lang w:eastAsia="en-US"/>
        </w:rPr>
        <w:t>.</w:t>
      </w:r>
    </w:p>
    <w:p w14:paraId="0FB11B2F" w14:textId="37A14458" w:rsidR="00E4072F" w:rsidRPr="008D72C8" w:rsidRDefault="00E4072F" w:rsidP="00800515">
      <w:pPr>
        <w:jc w:val="both"/>
        <w:rPr>
          <w:rFonts w:ascii="Times New Roman" w:hAnsi="Times New Roman"/>
          <w:lang w:eastAsia="en-US"/>
        </w:rPr>
      </w:pPr>
      <w:r w:rsidRPr="008D72C8">
        <w:rPr>
          <w:rFonts w:ascii="Times New Roman" w:hAnsi="Times New Roman"/>
          <w:b/>
          <w:bCs/>
          <w:lang w:eastAsia="en-US"/>
        </w:rPr>
        <w:t>3.1.</w:t>
      </w:r>
      <w:r w:rsidRPr="008D72C8">
        <w:rPr>
          <w:rFonts w:ascii="Times New Roman" w:hAnsi="Times New Roman"/>
          <w:lang w:eastAsia="en-US"/>
        </w:rPr>
        <w:t xml:space="preserve"> </w:t>
      </w:r>
      <w:r w:rsidR="00E04638" w:rsidRPr="008D72C8">
        <w:rPr>
          <w:rFonts w:ascii="Times New Roman" w:hAnsi="Times New Roman"/>
          <w:b/>
          <w:bCs/>
          <w:lang w:eastAsia="en-US"/>
        </w:rPr>
        <w:t>Кредитоспособность</w:t>
      </w:r>
      <w:r w:rsidR="00E04638" w:rsidRPr="008D72C8">
        <w:rPr>
          <w:rFonts w:ascii="Times New Roman" w:hAnsi="Times New Roman"/>
          <w:lang w:eastAsia="en-US"/>
        </w:rPr>
        <w:t xml:space="preserve"> – это такое экономическо-хозяйственное состояние</w:t>
      </w:r>
      <w:r w:rsidR="00283F64" w:rsidRPr="008D72C8">
        <w:rPr>
          <w:rFonts w:ascii="Times New Roman" w:hAnsi="Times New Roman"/>
          <w:lang w:eastAsia="en-US"/>
        </w:rPr>
        <w:t xml:space="preserve"> потенциальн</w:t>
      </w:r>
      <w:r w:rsidR="007F1590" w:rsidRPr="008D72C8">
        <w:rPr>
          <w:rFonts w:ascii="Times New Roman" w:hAnsi="Times New Roman"/>
          <w:lang w:eastAsia="en-US"/>
        </w:rPr>
        <w:t>ых</w:t>
      </w:r>
      <w:r w:rsidR="00283F64" w:rsidRPr="008D72C8">
        <w:rPr>
          <w:rFonts w:ascii="Times New Roman" w:hAnsi="Times New Roman"/>
          <w:lang w:eastAsia="en-US"/>
        </w:rPr>
        <w:t xml:space="preserve"> ЛПИ/ЛПИ</w:t>
      </w:r>
      <w:r w:rsidR="00E04638" w:rsidRPr="008D72C8">
        <w:rPr>
          <w:rFonts w:ascii="Times New Roman" w:hAnsi="Times New Roman"/>
          <w:lang w:eastAsia="en-US"/>
        </w:rPr>
        <w:t xml:space="preserve">, на основе которой </w:t>
      </w:r>
      <w:r w:rsidR="00216BFD" w:rsidRPr="008D72C8">
        <w:rPr>
          <w:rFonts w:ascii="Times New Roman" w:hAnsi="Times New Roman"/>
          <w:lang w:eastAsia="en-US"/>
        </w:rPr>
        <w:t>можно</w:t>
      </w:r>
      <w:r w:rsidR="00E04638" w:rsidRPr="008D72C8">
        <w:rPr>
          <w:rFonts w:ascii="Times New Roman" w:hAnsi="Times New Roman"/>
          <w:lang w:eastAsia="en-US"/>
        </w:rPr>
        <w:t xml:space="preserve"> дать оценку его способности эффективно использовать заемные средства и своевременно их возвращать. Для оценки кредитоспособности заполняется и анализируется управленческая отчетность. Учитываются только чистые кредитовые обороты, т.е. величина ежемесячных поступлений денежных средств от контрагентов на счета. Из расчета данной величины исключаются полученные кредиты, займы, любые возвраты ранее перечисленных платежей, разницы излишне перечисленных платежей, средства, поступившие от операций с векселями, средства, поступившие по договорам финансовой помощи, а также от купли-продажи ценных бумаг,  средства, поступившие с других расчетных счетов, связанных </w:t>
      </w:r>
      <w:r w:rsidR="00800515" w:rsidRPr="008D72C8">
        <w:rPr>
          <w:rFonts w:ascii="Times New Roman" w:hAnsi="Times New Roman"/>
          <w:lang w:eastAsia="en-US"/>
        </w:rPr>
        <w:t>лиц</w:t>
      </w:r>
      <w:r w:rsidR="00E04638" w:rsidRPr="008D72C8">
        <w:rPr>
          <w:rFonts w:ascii="Times New Roman" w:hAnsi="Times New Roman"/>
          <w:lang w:eastAsia="en-US"/>
        </w:rPr>
        <w:t xml:space="preserve"> (являющимися  участниками сделки при оценке бизнеса консолидировано). </w:t>
      </w:r>
    </w:p>
    <w:p w14:paraId="186C9BDD" w14:textId="77777777" w:rsidR="007F2A82" w:rsidRPr="008D72C8" w:rsidRDefault="007F2A82" w:rsidP="00800515">
      <w:pPr>
        <w:jc w:val="both"/>
        <w:rPr>
          <w:rFonts w:ascii="Times New Roman" w:hAnsi="Times New Roman"/>
          <w:lang w:eastAsia="en-US"/>
        </w:rPr>
      </w:pPr>
      <w:r w:rsidRPr="008D72C8">
        <w:rPr>
          <w:rFonts w:ascii="Times New Roman" w:hAnsi="Times New Roman"/>
          <w:lang w:eastAsia="en-US"/>
        </w:rPr>
        <w:t>Каждому показателю присваивается балл и вес. Итоговое значение по каждому параметру определяется как произведение количества баллов и веса показателя (в зависимости от значения).</w:t>
      </w:r>
    </w:p>
    <w:p w14:paraId="19A43332" w14:textId="77777777" w:rsidR="007F2A82" w:rsidRPr="008D72C8" w:rsidRDefault="007F2A82" w:rsidP="00800515">
      <w:pPr>
        <w:jc w:val="both"/>
        <w:rPr>
          <w:rFonts w:ascii="Times New Roman" w:hAnsi="Times New Roman"/>
          <w:lang w:eastAsia="en-US"/>
        </w:rPr>
      </w:pPr>
      <w:r w:rsidRPr="008D72C8">
        <w:rPr>
          <w:rFonts w:ascii="Times New Roman" w:hAnsi="Times New Roman"/>
          <w:lang w:eastAsia="en-US"/>
        </w:rPr>
        <w:t xml:space="preserve">Оценка рейтинга кредитоспособности рассчитывается как сумма итоговых значений по каждому </w:t>
      </w:r>
      <w:r w:rsidR="007F1590" w:rsidRPr="008D72C8">
        <w:rPr>
          <w:rFonts w:ascii="Times New Roman" w:hAnsi="Times New Roman"/>
          <w:lang w:eastAsia="en-US"/>
        </w:rPr>
        <w:t>показателю</w:t>
      </w:r>
      <w:r w:rsidRPr="008D72C8">
        <w:rPr>
          <w:rFonts w:ascii="Times New Roman" w:hAnsi="Times New Roman"/>
          <w:lang w:eastAsia="en-US"/>
        </w:rPr>
        <w:t>.</w:t>
      </w:r>
      <w:r w:rsidRPr="008D72C8">
        <w:rPr>
          <w:rFonts w:ascii="Times New Roman" w:hAnsi="Times New Roman"/>
          <w:b/>
          <w:lang w:eastAsia="en-US"/>
        </w:rPr>
        <w:t xml:space="preserve"> </w:t>
      </w:r>
      <w:r w:rsidRPr="008D72C8">
        <w:rPr>
          <w:rFonts w:ascii="Times New Roman" w:hAnsi="Times New Roman"/>
          <w:lang w:eastAsia="en-US"/>
        </w:rPr>
        <w:t>По результатам проведенного анализа рейтинга кредитоспособности</w:t>
      </w:r>
      <w:r w:rsidR="00A862C2" w:rsidRPr="008D72C8">
        <w:rPr>
          <w:rFonts w:ascii="Times New Roman" w:hAnsi="Times New Roman"/>
          <w:lang w:eastAsia="en-US"/>
        </w:rPr>
        <w:t>, потенциальн</w:t>
      </w:r>
      <w:r w:rsidR="007F1590" w:rsidRPr="008D72C8">
        <w:rPr>
          <w:rFonts w:ascii="Times New Roman" w:hAnsi="Times New Roman"/>
          <w:lang w:eastAsia="en-US"/>
        </w:rPr>
        <w:t>ые</w:t>
      </w:r>
      <w:r w:rsidR="00A862C2" w:rsidRPr="008D72C8">
        <w:rPr>
          <w:rFonts w:ascii="Times New Roman" w:hAnsi="Times New Roman"/>
          <w:lang w:eastAsia="en-US"/>
        </w:rPr>
        <w:t xml:space="preserve"> ЛПИ/ЛПИ</w:t>
      </w:r>
      <w:r w:rsidR="003F1329" w:rsidRPr="008D72C8">
        <w:rPr>
          <w:rFonts w:ascii="Times New Roman" w:hAnsi="Times New Roman"/>
          <w:lang w:eastAsia="en-US"/>
        </w:rPr>
        <w:t xml:space="preserve"> </w:t>
      </w:r>
      <w:r w:rsidR="008B261C" w:rsidRPr="008D72C8">
        <w:rPr>
          <w:rFonts w:ascii="Times New Roman" w:hAnsi="Times New Roman"/>
          <w:lang w:eastAsia="en-US"/>
        </w:rPr>
        <w:t>могут иметь од</w:t>
      </w:r>
      <w:r w:rsidR="00626DCF" w:rsidRPr="008D72C8">
        <w:rPr>
          <w:rFonts w:ascii="Times New Roman" w:hAnsi="Times New Roman"/>
          <w:lang w:eastAsia="en-US"/>
        </w:rPr>
        <w:t>ну</w:t>
      </w:r>
      <w:r w:rsidR="008B261C" w:rsidRPr="008D72C8">
        <w:rPr>
          <w:rFonts w:ascii="Times New Roman" w:hAnsi="Times New Roman"/>
          <w:lang w:eastAsia="en-US"/>
        </w:rPr>
        <w:t xml:space="preserve"> из категорий рейтинга:</w:t>
      </w:r>
      <w:r w:rsidRPr="008D72C8">
        <w:rPr>
          <w:rFonts w:ascii="Times New Roman" w:hAnsi="Times New Roman"/>
          <w:lang w:eastAsia="en-US"/>
        </w:rPr>
        <w:t xml:space="preserve"> </w:t>
      </w:r>
      <w:r w:rsidR="00515BF0" w:rsidRPr="008D72C8">
        <w:rPr>
          <w:rFonts w:ascii="Times New Roman" w:hAnsi="Times New Roman"/>
          <w:lang w:eastAsia="en-US"/>
        </w:rPr>
        <w:t>«хороший», «средний», «плохой».</w:t>
      </w:r>
    </w:p>
    <w:p w14:paraId="4B4CCAB2" w14:textId="77777777" w:rsidR="007F2A82" w:rsidRPr="008D72C8" w:rsidRDefault="00386EEF" w:rsidP="00800515">
      <w:pPr>
        <w:jc w:val="both"/>
        <w:rPr>
          <w:rFonts w:ascii="Times New Roman" w:hAnsi="Times New Roman"/>
          <w:lang w:eastAsia="en-US"/>
        </w:rPr>
      </w:pPr>
      <w:r w:rsidRPr="008D72C8">
        <w:rPr>
          <w:rFonts w:ascii="Times New Roman" w:hAnsi="Times New Roman"/>
          <w:lang w:eastAsia="en-US"/>
        </w:rPr>
        <w:t>Размещение инвестиционного предложения</w:t>
      </w:r>
      <w:r w:rsidR="00900A12" w:rsidRPr="008D72C8">
        <w:rPr>
          <w:rFonts w:ascii="Times New Roman" w:hAnsi="Times New Roman"/>
          <w:lang w:eastAsia="en-US"/>
        </w:rPr>
        <w:t xml:space="preserve"> возможн</w:t>
      </w:r>
      <w:r w:rsidRPr="008D72C8">
        <w:rPr>
          <w:rFonts w:ascii="Times New Roman" w:hAnsi="Times New Roman"/>
          <w:lang w:eastAsia="en-US"/>
        </w:rPr>
        <w:t>о</w:t>
      </w:r>
      <w:r w:rsidR="00900A12" w:rsidRPr="008D72C8">
        <w:rPr>
          <w:rFonts w:ascii="Times New Roman" w:hAnsi="Times New Roman"/>
          <w:lang w:eastAsia="en-US"/>
        </w:rPr>
        <w:t xml:space="preserve"> при попадании в категорию с рейтингом </w:t>
      </w:r>
      <w:r w:rsidR="009276B0" w:rsidRPr="008D72C8">
        <w:rPr>
          <w:rFonts w:ascii="Times New Roman" w:hAnsi="Times New Roman"/>
          <w:lang w:eastAsia="en-US"/>
        </w:rPr>
        <w:t>не ниже</w:t>
      </w:r>
      <w:r w:rsidR="00900A12" w:rsidRPr="008D72C8">
        <w:rPr>
          <w:rFonts w:ascii="Times New Roman" w:hAnsi="Times New Roman"/>
          <w:lang w:eastAsia="en-US"/>
        </w:rPr>
        <w:t xml:space="preserve"> «средний». В противном случае</w:t>
      </w:r>
      <w:r w:rsidR="007F2A82" w:rsidRPr="008D72C8">
        <w:rPr>
          <w:rFonts w:ascii="Times New Roman" w:hAnsi="Times New Roman"/>
          <w:lang w:eastAsia="en-US"/>
        </w:rPr>
        <w:t xml:space="preserve"> </w:t>
      </w:r>
      <w:r w:rsidR="00D454A4" w:rsidRPr="008D72C8">
        <w:rPr>
          <w:rFonts w:ascii="Times New Roman" w:hAnsi="Times New Roman"/>
          <w:lang w:eastAsia="en-US"/>
        </w:rPr>
        <w:t xml:space="preserve">возможно </w:t>
      </w:r>
      <w:r w:rsidRPr="008D72C8">
        <w:rPr>
          <w:rFonts w:ascii="Times New Roman" w:hAnsi="Times New Roman"/>
          <w:lang w:eastAsia="en-US"/>
        </w:rPr>
        <w:t>проведение</w:t>
      </w:r>
      <w:r w:rsidR="007F2A82" w:rsidRPr="008D72C8">
        <w:rPr>
          <w:rFonts w:ascii="Times New Roman" w:hAnsi="Times New Roman"/>
          <w:lang w:eastAsia="en-US"/>
        </w:rPr>
        <w:t xml:space="preserve"> анализа финансового положения </w:t>
      </w:r>
      <w:r w:rsidR="00CC5D72" w:rsidRPr="008D72C8">
        <w:rPr>
          <w:rFonts w:ascii="Times New Roman" w:hAnsi="Times New Roman"/>
          <w:lang w:eastAsia="en-US"/>
        </w:rPr>
        <w:t>(п.</w:t>
      </w:r>
      <w:r w:rsidR="008302C1" w:rsidRPr="008D72C8">
        <w:rPr>
          <w:rFonts w:ascii="Times New Roman" w:hAnsi="Times New Roman"/>
          <w:lang w:eastAsia="en-US"/>
        </w:rPr>
        <w:t xml:space="preserve">3.2. </w:t>
      </w:r>
      <w:r w:rsidR="00CC5D72" w:rsidRPr="008D72C8">
        <w:rPr>
          <w:rFonts w:ascii="Times New Roman" w:hAnsi="Times New Roman"/>
          <w:lang w:eastAsia="en-US"/>
        </w:rPr>
        <w:t xml:space="preserve"> настоящего регламента) </w:t>
      </w:r>
      <w:r w:rsidRPr="008D72C8">
        <w:rPr>
          <w:rFonts w:ascii="Times New Roman" w:hAnsi="Times New Roman"/>
          <w:lang w:eastAsia="en-US"/>
        </w:rPr>
        <w:t>совместно</w:t>
      </w:r>
      <w:r w:rsidR="00CC5D72" w:rsidRPr="008D72C8">
        <w:rPr>
          <w:rFonts w:ascii="Times New Roman" w:hAnsi="Times New Roman"/>
          <w:lang w:eastAsia="en-US"/>
        </w:rPr>
        <w:t xml:space="preserve"> с </w:t>
      </w:r>
      <w:r w:rsidR="00262885" w:rsidRPr="008D72C8">
        <w:rPr>
          <w:rFonts w:ascii="Times New Roman" w:hAnsi="Times New Roman"/>
          <w:lang w:eastAsia="en-US"/>
        </w:rPr>
        <w:t>параметрами, установленными</w:t>
      </w:r>
      <w:r w:rsidR="00D454A4" w:rsidRPr="008D72C8">
        <w:rPr>
          <w:rFonts w:ascii="Times New Roman" w:hAnsi="Times New Roman"/>
          <w:lang w:eastAsia="en-US"/>
        </w:rPr>
        <w:t xml:space="preserve"> в Регламенте</w:t>
      </w:r>
      <w:r w:rsidRPr="008D72C8">
        <w:rPr>
          <w:rFonts w:ascii="Times New Roman" w:hAnsi="Times New Roman"/>
          <w:lang w:eastAsia="en-US"/>
        </w:rPr>
        <w:t xml:space="preserve"> 2. </w:t>
      </w:r>
    </w:p>
    <w:p w14:paraId="1F965C75" w14:textId="3DBD2951" w:rsidR="00043F08" w:rsidRPr="008D72C8" w:rsidRDefault="00043F08" w:rsidP="00F14596">
      <w:pPr>
        <w:tabs>
          <w:tab w:val="left" w:pos="1134"/>
        </w:tabs>
        <w:spacing w:after="0" w:line="240" w:lineRule="auto"/>
        <w:ind w:firstLine="567"/>
        <w:contextualSpacing/>
        <w:jc w:val="both"/>
        <w:rPr>
          <w:rFonts w:ascii="Times New Roman" w:hAnsi="Times New Roman"/>
          <w:lang w:eastAsia="en-US"/>
        </w:rPr>
      </w:pPr>
      <w:r w:rsidRPr="008D72C8">
        <w:rPr>
          <w:rFonts w:ascii="Times New Roman" w:hAnsi="Times New Roman"/>
          <w:lang w:eastAsia="en-US"/>
        </w:rPr>
        <w:t xml:space="preserve">В некоторых случаях возможно привлечение в </w:t>
      </w:r>
      <w:r w:rsidR="00386EEF" w:rsidRPr="008D72C8">
        <w:rPr>
          <w:rFonts w:ascii="Times New Roman" w:hAnsi="Times New Roman"/>
          <w:lang w:eastAsia="en-US"/>
        </w:rPr>
        <w:t>П</w:t>
      </w:r>
      <w:r w:rsidRPr="008D72C8">
        <w:rPr>
          <w:rFonts w:ascii="Times New Roman" w:hAnsi="Times New Roman"/>
          <w:lang w:eastAsia="en-US"/>
        </w:rPr>
        <w:t xml:space="preserve">оручители </w:t>
      </w:r>
      <w:r w:rsidR="006E5944" w:rsidRPr="008D72C8">
        <w:rPr>
          <w:rFonts w:ascii="Times New Roman" w:hAnsi="Times New Roman"/>
          <w:lang w:eastAsia="en-US"/>
        </w:rPr>
        <w:t xml:space="preserve">прочих </w:t>
      </w:r>
      <w:r w:rsidR="00386EEF" w:rsidRPr="008D72C8">
        <w:rPr>
          <w:rFonts w:ascii="Times New Roman" w:hAnsi="Times New Roman"/>
          <w:lang w:eastAsia="en-US"/>
        </w:rPr>
        <w:t xml:space="preserve">лиц </w:t>
      </w:r>
      <w:r w:rsidR="006E5944" w:rsidRPr="008D72C8">
        <w:rPr>
          <w:rFonts w:ascii="Times New Roman" w:hAnsi="Times New Roman"/>
          <w:lang w:eastAsia="en-US"/>
        </w:rPr>
        <w:t>(преимущественно связанных)</w:t>
      </w:r>
      <w:r w:rsidRPr="008D72C8">
        <w:rPr>
          <w:rFonts w:ascii="Times New Roman" w:hAnsi="Times New Roman"/>
          <w:lang w:eastAsia="en-US"/>
        </w:rPr>
        <w:t xml:space="preserve">, в том числе при оценке бизнеса консолидировано по решению Оператора. </w:t>
      </w:r>
      <w:r w:rsidR="00370277" w:rsidRPr="008D72C8">
        <w:rPr>
          <w:rFonts w:ascii="Times New Roman" w:hAnsi="Times New Roman"/>
          <w:lang w:eastAsia="en-US"/>
        </w:rPr>
        <w:t>В таком случае рейтинг кредитоспособности Поручителя должен быть не ниже «</w:t>
      </w:r>
      <w:r w:rsidR="00EF3A58" w:rsidRPr="008D72C8">
        <w:rPr>
          <w:rFonts w:ascii="Times New Roman" w:hAnsi="Times New Roman"/>
          <w:lang w:eastAsia="en-US"/>
        </w:rPr>
        <w:t>среднего</w:t>
      </w:r>
      <w:r w:rsidR="00370277" w:rsidRPr="008D72C8">
        <w:rPr>
          <w:rFonts w:ascii="Times New Roman" w:hAnsi="Times New Roman"/>
          <w:lang w:eastAsia="en-US"/>
        </w:rPr>
        <w:t>»</w:t>
      </w:r>
      <w:r w:rsidR="00262885" w:rsidRPr="008D72C8">
        <w:rPr>
          <w:rFonts w:ascii="Times New Roman" w:hAnsi="Times New Roman"/>
          <w:lang w:eastAsia="en-US"/>
        </w:rPr>
        <w:t xml:space="preserve"> для </w:t>
      </w:r>
      <w:r w:rsidR="006E5944" w:rsidRPr="008D72C8">
        <w:rPr>
          <w:rFonts w:ascii="Times New Roman" w:hAnsi="Times New Roman"/>
          <w:lang w:eastAsia="en-US"/>
        </w:rPr>
        <w:t>возможного</w:t>
      </w:r>
      <w:r w:rsidR="00262885" w:rsidRPr="008D72C8">
        <w:rPr>
          <w:rFonts w:ascii="Times New Roman" w:hAnsi="Times New Roman"/>
          <w:lang w:eastAsia="en-US"/>
        </w:rPr>
        <w:t xml:space="preserve"> </w:t>
      </w:r>
      <w:r w:rsidR="00386EEF" w:rsidRPr="008D72C8">
        <w:rPr>
          <w:rFonts w:ascii="Times New Roman" w:hAnsi="Times New Roman"/>
          <w:lang w:eastAsia="en-US"/>
        </w:rPr>
        <w:t>размещения инвестиционного предложения</w:t>
      </w:r>
      <w:r w:rsidR="00262885" w:rsidRPr="008D72C8">
        <w:rPr>
          <w:rFonts w:ascii="Times New Roman" w:hAnsi="Times New Roman"/>
          <w:lang w:eastAsia="en-US"/>
        </w:rPr>
        <w:t>.</w:t>
      </w:r>
      <w:r w:rsidR="00370277" w:rsidRPr="008D72C8">
        <w:rPr>
          <w:rFonts w:ascii="Times New Roman" w:hAnsi="Times New Roman"/>
          <w:lang w:eastAsia="en-US"/>
        </w:rPr>
        <w:t xml:space="preserve"> </w:t>
      </w:r>
      <w:r w:rsidR="00C82812" w:rsidRPr="008D72C8">
        <w:rPr>
          <w:rFonts w:ascii="Times New Roman" w:hAnsi="Times New Roman"/>
          <w:lang w:eastAsia="en-US"/>
        </w:rPr>
        <w:br/>
      </w:r>
      <w:r w:rsidR="00C82812" w:rsidRPr="008D72C8">
        <w:rPr>
          <w:rFonts w:ascii="Times New Roman" w:hAnsi="Times New Roman"/>
          <w:lang w:eastAsia="en-US"/>
        </w:rPr>
        <w:br/>
        <w:t xml:space="preserve">Для </w:t>
      </w:r>
      <w:r w:rsidR="000B6022" w:rsidRPr="008D72C8">
        <w:rPr>
          <w:rFonts w:ascii="Times New Roman" w:hAnsi="Times New Roman"/>
          <w:lang w:eastAsia="en-US"/>
        </w:rPr>
        <w:t>потенциальных ЛПИ/ЛПИ</w:t>
      </w:r>
      <w:r w:rsidR="00C82812" w:rsidRPr="008D72C8">
        <w:rPr>
          <w:rFonts w:ascii="Times New Roman" w:hAnsi="Times New Roman"/>
          <w:lang w:eastAsia="en-US"/>
        </w:rPr>
        <w:t xml:space="preserve"> с нулевым операционным доходом и, как следствие, рейтингом кредитоспособности "Плохой", занимающихся проектной деятельностью, возможно принятие положительного решения при привлечении поручителя - связанной компании, имеющей срок государственной регистрации не менее 5 лет с рейтингом кредитоспособности не ниже "Среднего". В случае если связанная компания имеет срок регистрации менее 5 лет и является дочерней от иной связанной компании, то материнская компания должна иметь срок государственной регистрации не менее 5 лет.  Одномоментно с наличием </w:t>
      </w:r>
      <w:r w:rsidR="008D72C8" w:rsidRPr="008D72C8">
        <w:rPr>
          <w:rFonts w:ascii="Times New Roman" w:hAnsi="Times New Roman"/>
          <w:lang w:eastAsia="en-US"/>
        </w:rPr>
        <w:t>поручителя, потенциальный</w:t>
      </w:r>
      <w:r w:rsidR="000B6022" w:rsidRPr="008D72C8">
        <w:rPr>
          <w:rFonts w:ascii="Times New Roman" w:hAnsi="Times New Roman"/>
          <w:lang w:eastAsia="en-US"/>
        </w:rPr>
        <w:t xml:space="preserve"> ЛПИ/ЛПИ </w:t>
      </w:r>
      <w:r w:rsidR="00C82812" w:rsidRPr="008D72C8">
        <w:rPr>
          <w:rFonts w:ascii="Times New Roman" w:hAnsi="Times New Roman"/>
          <w:lang w:eastAsia="en-US"/>
        </w:rPr>
        <w:t>долж</w:t>
      </w:r>
      <w:r w:rsidR="000B6022" w:rsidRPr="008D72C8">
        <w:rPr>
          <w:rFonts w:ascii="Times New Roman" w:hAnsi="Times New Roman"/>
          <w:lang w:eastAsia="en-US"/>
        </w:rPr>
        <w:t xml:space="preserve">ен </w:t>
      </w:r>
      <w:r w:rsidR="00C82812" w:rsidRPr="008D72C8">
        <w:rPr>
          <w:rFonts w:ascii="Times New Roman" w:hAnsi="Times New Roman"/>
          <w:lang w:eastAsia="en-US"/>
        </w:rPr>
        <w:t xml:space="preserve">располагать </w:t>
      </w:r>
      <w:r w:rsidR="00C82812" w:rsidRPr="008D72C8">
        <w:rPr>
          <w:rFonts w:ascii="Times New Roman" w:hAnsi="Times New Roman"/>
          <w:lang w:eastAsia="en-US"/>
        </w:rPr>
        <w:lastRenderedPageBreak/>
        <w:t xml:space="preserve">собственными средствами от учредителя/руководителя/ инвестора, которые были зачислены на счет </w:t>
      </w:r>
      <w:r w:rsidR="000B6022" w:rsidRPr="008D72C8">
        <w:rPr>
          <w:rFonts w:ascii="Times New Roman" w:hAnsi="Times New Roman"/>
          <w:lang w:eastAsia="en-US"/>
        </w:rPr>
        <w:t>потенциального ЛПИ/ЛПИ</w:t>
      </w:r>
      <w:r w:rsidR="00C82812" w:rsidRPr="008D72C8">
        <w:rPr>
          <w:rFonts w:ascii="Times New Roman" w:hAnsi="Times New Roman"/>
          <w:lang w:eastAsia="en-US"/>
        </w:rPr>
        <w:t>.</w:t>
      </w:r>
      <w:r w:rsidR="00DD3DC0" w:rsidRPr="008D72C8">
        <w:rPr>
          <w:rFonts w:ascii="Times New Roman" w:hAnsi="Times New Roman"/>
          <w:lang w:eastAsia="en-US"/>
        </w:rPr>
        <w:br/>
      </w:r>
      <w:r w:rsidR="00DD3DC0" w:rsidRPr="008D72C8">
        <w:rPr>
          <w:rFonts w:ascii="Times New Roman" w:hAnsi="Times New Roman"/>
          <w:lang w:eastAsia="en-US"/>
        </w:rPr>
        <w:br/>
      </w:r>
      <w:r w:rsidR="00F14596" w:rsidRPr="008D72C8">
        <w:rPr>
          <w:rFonts w:ascii="Times New Roman" w:hAnsi="Times New Roman"/>
          <w:lang w:eastAsia="en-US"/>
        </w:rPr>
        <w:t>…</w:t>
      </w:r>
    </w:p>
    <w:p w14:paraId="676FB611" w14:textId="77777777" w:rsidR="00F14596" w:rsidRPr="008D72C8" w:rsidRDefault="00F14596" w:rsidP="00F14596">
      <w:pPr>
        <w:tabs>
          <w:tab w:val="left" w:pos="1134"/>
        </w:tabs>
        <w:spacing w:after="0" w:line="240" w:lineRule="auto"/>
        <w:ind w:firstLine="567"/>
        <w:contextualSpacing/>
        <w:jc w:val="both"/>
        <w:rPr>
          <w:rFonts w:ascii="Times New Roman" w:hAnsi="Times New Roman"/>
          <w:lang w:eastAsia="en-US"/>
        </w:rPr>
      </w:pPr>
    </w:p>
    <w:p w14:paraId="6665C8CC" w14:textId="549C7400" w:rsidR="002D20C5" w:rsidRPr="008D72C8" w:rsidRDefault="00E4072F" w:rsidP="00800515">
      <w:pPr>
        <w:jc w:val="both"/>
        <w:rPr>
          <w:rFonts w:ascii="Times New Roman" w:hAnsi="Times New Roman"/>
          <w:lang w:eastAsia="en-US"/>
        </w:rPr>
      </w:pPr>
      <w:r w:rsidRPr="008D72C8">
        <w:rPr>
          <w:rFonts w:ascii="Times New Roman" w:hAnsi="Times New Roman"/>
          <w:b/>
          <w:bCs/>
          <w:lang w:eastAsia="en-US"/>
        </w:rPr>
        <w:t>3.2.</w:t>
      </w:r>
      <w:r w:rsidRPr="008D72C8">
        <w:rPr>
          <w:rFonts w:ascii="Times New Roman" w:hAnsi="Times New Roman"/>
          <w:lang w:eastAsia="en-US"/>
        </w:rPr>
        <w:t xml:space="preserve"> </w:t>
      </w:r>
      <w:r w:rsidR="002D20C5" w:rsidRPr="008D72C8">
        <w:rPr>
          <w:rFonts w:ascii="Times New Roman" w:hAnsi="Times New Roman"/>
          <w:b/>
          <w:bCs/>
          <w:lang w:eastAsia="en-US"/>
        </w:rPr>
        <w:t>Анализ финансового положения</w:t>
      </w:r>
      <w:r w:rsidR="004426A0" w:rsidRPr="008D72C8">
        <w:rPr>
          <w:rFonts w:ascii="Times New Roman" w:hAnsi="Times New Roman"/>
          <w:b/>
          <w:bCs/>
          <w:lang w:eastAsia="en-US"/>
        </w:rPr>
        <w:t xml:space="preserve"> </w:t>
      </w:r>
      <w:r w:rsidR="00440B7B" w:rsidRPr="008D72C8">
        <w:rPr>
          <w:rFonts w:ascii="Times New Roman" w:hAnsi="Times New Roman"/>
          <w:b/>
          <w:bCs/>
          <w:lang w:eastAsia="en-US"/>
        </w:rPr>
        <w:t xml:space="preserve">для </w:t>
      </w:r>
      <w:r w:rsidR="0032726F" w:rsidRPr="008D72C8">
        <w:rPr>
          <w:rFonts w:ascii="Times New Roman" w:hAnsi="Times New Roman"/>
          <w:b/>
          <w:bCs/>
          <w:lang w:eastAsia="en-US"/>
        </w:rPr>
        <w:t>потенциальных ЛПИ/ЛПИ</w:t>
      </w:r>
      <w:r w:rsidR="00440B7B" w:rsidRPr="008D72C8">
        <w:rPr>
          <w:rFonts w:ascii="Times New Roman" w:hAnsi="Times New Roman"/>
          <w:b/>
          <w:bCs/>
          <w:lang w:eastAsia="en-US"/>
        </w:rPr>
        <w:t xml:space="preserve"> со сроком регистрации не менее </w:t>
      </w:r>
      <w:r w:rsidR="00B6349C" w:rsidRPr="008D72C8">
        <w:rPr>
          <w:rFonts w:ascii="Times New Roman" w:hAnsi="Times New Roman"/>
          <w:b/>
          <w:bCs/>
          <w:lang w:eastAsia="en-US"/>
        </w:rPr>
        <w:t>12</w:t>
      </w:r>
      <w:r w:rsidR="00440B7B" w:rsidRPr="008D72C8">
        <w:rPr>
          <w:rFonts w:ascii="Times New Roman" w:hAnsi="Times New Roman"/>
          <w:b/>
          <w:bCs/>
          <w:lang w:eastAsia="en-US"/>
        </w:rPr>
        <w:t xml:space="preserve"> месяцев</w:t>
      </w:r>
      <w:r w:rsidR="00386EEF" w:rsidRPr="008D72C8">
        <w:rPr>
          <w:rFonts w:ascii="Times New Roman" w:hAnsi="Times New Roman"/>
          <w:b/>
          <w:bCs/>
          <w:lang w:eastAsia="en-US"/>
        </w:rPr>
        <w:t xml:space="preserve"> </w:t>
      </w:r>
      <w:r w:rsidR="002D20C5" w:rsidRPr="008D72C8">
        <w:rPr>
          <w:rFonts w:ascii="Times New Roman" w:hAnsi="Times New Roman"/>
          <w:lang w:eastAsia="en-US"/>
        </w:rPr>
        <w:t>– это оценка динамики выручки, так же анализ обязательств перед бюджетом, анализ кредитной истории и срока работы.</w:t>
      </w:r>
    </w:p>
    <w:p w14:paraId="69D52135" w14:textId="50B2446E" w:rsidR="00055811" w:rsidRPr="008D72C8" w:rsidRDefault="00470EC8" w:rsidP="00055811">
      <w:pPr>
        <w:jc w:val="both"/>
        <w:rPr>
          <w:rFonts w:ascii="Times New Roman" w:hAnsi="Times New Roman"/>
          <w:lang w:eastAsia="en-US"/>
        </w:rPr>
      </w:pPr>
      <w:r w:rsidRPr="008D72C8">
        <w:rPr>
          <w:rFonts w:ascii="Times New Roman" w:hAnsi="Times New Roman"/>
          <w:lang w:eastAsia="en-US"/>
        </w:rPr>
        <w:t xml:space="preserve">Каждому показателю присваивается балл и вес. Оценка финансового положения </w:t>
      </w:r>
      <w:r w:rsidR="00386EEF" w:rsidRPr="008D72C8">
        <w:rPr>
          <w:rFonts w:ascii="Times New Roman" w:hAnsi="Times New Roman"/>
          <w:lang w:eastAsia="en-US"/>
        </w:rPr>
        <w:t>потенциальн</w:t>
      </w:r>
      <w:r w:rsidR="007F1590" w:rsidRPr="008D72C8">
        <w:rPr>
          <w:rFonts w:ascii="Times New Roman" w:hAnsi="Times New Roman"/>
          <w:lang w:eastAsia="en-US"/>
        </w:rPr>
        <w:t>ых</w:t>
      </w:r>
      <w:r w:rsidR="00386EEF" w:rsidRPr="008D72C8">
        <w:rPr>
          <w:rFonts w:ascii="Times New Roman" w:hAnsi="Times New Roman"/>
          <w:lang w:eastAsia="en-US"/>
        </w:rPr>
        <w:t xml:space="preserve"> ЛПИ/ЛПИ</w:t>
      </w:r>
      <w:r w:rsidR="00192B1C" w:rsidRPr="008D72C8">
        <w:rPr>
          <w:rFonts w:ascii="Times New Roman" w:hAnsi="Times New Roman"/>
          <w:lang w:eastAsia="en-US"/>
        </w:rPr>
        <w:t xml:space="preserve"> </w:t>
      </w:r>
      <w:r w:rsidRPr="008D72C8">
        <w:rPr>
          <w:rFonts w:ascii="Times New Roman" w:hAnsi="Times New Roman"/>
          <w:lang w:eastAsia="en-US"/>
        </w:rPr>
        <w:t xml:space="preserve">производится как сумма произведений количества баллов, набранных по каждому показателю, на вес (значимость) этого показателя. По результатам проведенного анализа финансовое положение </w:t>
      </w:r>
      <w:r w:rsidR="00386EEF" w:rsidRPr="008D72C8">
        <w:rPr>
          <w:rFonts w:ascii="Times New Roman" w:hAnsi="Times New Roman"/>
          <w:lang w:eastAsia="en-US"/>
        </w:rPr>
        <w:t>потенциальн</w:t>
      </w:r>
      <w:r w:rsidR="007F1590" w:rsidRPr="008D72C8">
        <w:rPr>
          <w:rFonts w:ascii="Times New Roman" w:hAnsi="Times New Roman"/>
          <w:lang w:eastAsia="en-US"/>
        </w:rPr>
        <w:t>ых</w:t>
      </w:r>
      <w:r w:rsidR="00386EEF" w:rsidRPr="008D72C8">
        <w:rPr>
          <w:rFonts w:ascii="Times New Roman" w:hAnsi="Times New Roman"/>
          <w:lang w:eastAsia="en-US"/>
        </w:rPr>
        <w:t xml:space="preserve"> ЛПИ/ЛПИ</w:t>
      </w:r>
      <w:r w:rsidR="003F1329" w:rsidRPr="008D72C8">
        <w:rPr>
          <w:rFonts w:ascii="Times New Roman" w:hAnsi="Times New Roman"/>
          <w:lang w:eastAsia="en-US"/>
        </w:rPr>
        <w:t xml:space="preserve"> </w:t>
      </w:r>
      <w:r w:rsidRPr="008D72C8">
        <w:rPr>
          <w:rFonts w:ascii="Times New Roman" w:hAnsi="Times New Roman"/>
          <w:lang w:eastAsia="en-US"/>
        </w:rPr>
        <w:t xml:space="preserve">может быть отнесено в одну из категорий: «хорошее», «среднее», «плохое». </w:t>
      </w:r>
      <w:r w:rsidR="00386EEF" w:rsidRPr="008D72C8">
        <w:rPr>
          <w:rFonts w:ascii="Times New Roman" w:hAnsi="Times New Roman"/>
          <w:lang w:eastAsia="en-US"/>
        </w:rPr>
        <w:t>Размещение инвестиционного предложения</w:t>
      </w:r>
      <w:r w:rsidRPr="008D72C8">
        <w:rPr>
          <w:rFonts w:ascii="Times New Roman" w:hAnsi="Times New Roman"/>
          <w:lang w:eastAsia="en-US"/>
        </w:rPr>
        <w:t xml:space="preserve"> по данной методике возможн</w:t>
      </w:r>
      <w:r w:rsidR="00386EEF" w:rsidRPr="008D72C8">
        <w:rPr>
          <w:rFonts w:ascii="Times New Roman" w:hAnsi="Times New Roman"/>
          <w:lang w:eastAsia="en-US"/>
        </w:rPr>
        <w:t>о</w:t>
      </w:r>
      <w:r w:rsidRPr="008D72C8">
        <w:rPr>
          <w:rFonts w:ascii="Times New Roman" w:hAnsi="Times New Roman"/>
          <w:lang w:eastAsia="en-US"/>
        </w:rPr>
        <w:t xml:space="preserve"> при попадании в категорию </w:t>
      </w:r>
      <w:r w:rsidR="00EB5396" w:rsidRPr="008D72C8">
        <w:rPr>
          <w:rFonts w:ascii="Times New Roman" w:hAnsi="Times New Roman"/>
          <w:lang w:eastAsia="en-US"/>
        </w:rPr>
        <w:t>не ниже «среднего»</w:t>
      </w:r>
      <w:r w:rsidR="00386EEF" w:rsidRPr="008D72C8">
        <w:rPr>
          <w:rFonts w:ascii="Times New Roman" w:hAnsi="Times New Roman"/>
          <w:lang w:eastAsia="en-US"/>
        </w:rPr>
        <w:t xml:space="preserve"> </w:t>
      </w:r>
      <w:r w:rsidR="00043F08" w:rsidRPr="008D72C8">
        <w:rPr>
          <w:rFonts w:ascii="Times New Roman" w:hAnsi="Times New Roman"/>
          <w:lang w:eastAsia="en-US"/>
        </w:rPr>
        <w:t xml:space="preserve">при отсутствии </w:t>
      </w:r>
      <w:r w:rsidR="006E5944" w:rsidRPr="008D72C8">
        <w:rPr>
          <w:rFonts w:ascii="Times New Roman" w:hAnsi="Times New Roman"/>
          <w:lang w:eastAsia="en-US"/>
        </w:rPr>
        <w:t>п</w:t>
      </w:r>
      <w:r w:rsidR="00043F08" w:rsidRPr="008D72C8">
        <w:rPr>
          <w:rFonts w:ascii="Times New Roman" w:hAnsi="Times New Roman"/>
          <w:lang w:eastAsia="en-US"/>
        </w:rPr>
        <w:t>оручителя</w:t>
      </w:r>
      <w:r w:rsidR="009276B0" w:rsidRPr="008D72C8">
        <w:rPr>
          <w:rFonts w:ascii="Times New Roman" w:hAnsi="Times New Roman"/>
          <w:lang w:eastAsia="en-US"/>
        </w:rPr>
        <w:t xml:space="preserve"> (</w:t>
      </w:r>
      <w:r w:rsidR="006E5944" w:rsidRPr="008D72C8">
        <w:rPr>
          <w:rFonts w:ascii="Times New Roman" w:hAnsi="Times New Roman"/>
          <w:lang w:eastAsia="en-US"/>
        </w:rPr>
        <w:t xml:space="preserve">преимущественно </w:t>
      </w:r>
      <w:r w:rsidR="009276B0" w:rsidRPr="008D72C8">
        <w:rPr>
          <w:rFonts w:ascii="Times New Roman" w:hAnsi="Times New Roman"/>
          <w:lang w:eastAsia="en-US"/>
        </w:rPr>
        <w:t>связанной</w:t>
      </w:r>
      <w:r w:rsidR="00FD1041" w:rsidRPr="008D72C8">
        <w:rPr>
          <w:rFonts w:ascii="Times New Roman" w:hAnsi="Times New Roman"/>
          <w:lang w:eastAsia="en-US"/>
        </w:rPr>
        <w:t xml:space="preserve"> компании</w:t>
      </w:r>
      <w:r w:rsidR="009276B0" w:rsidRPr="008D72C8">
        <w:rPr>
          <w:rFonts w:ascii="Times New Roman" w:hAnsi="Times New Roman"/>
          <w:lang w:eastAsia="en-US"/>
        </w:rPr>
        <w:t>)</w:t>
      </w:r>
      <w:r w:rsidR="00043F08" w:rsidRPr="008D72C8">
        <w:rPr>
          <w:rFonts w:ascii="Times New Roman" w:hAnsi="Times New Roman"/>
          <w:lang w:eastAsia="en-US"/>
        </w:rPr>
        <w:t xml:space="preserve">. </w:t>
      </w:r>
    </w:p>
    <w:p w14:paraId="3067EC0F" w14:textId="78F3D12A" w:rsidR="00F14596" w:rsidRPr="008D72C8" w:rsidRDefault="00043F08" w:rsidP="00F14596">
      <w:pPr>
        <w:keepLines/>
        <w:tabs>
          <w:tab w:val="left" w:pos="1134"/>
        </w:tabs>
        <w:spacing w:after="0" w:line="240" w:lineRule="auto"/>
        <w:jc w:val="both"/>
        <w:rPr>
          <w:rFonts w:ascii="Times New Roman" w:hAnsi="Times New Roman"/>
          <w:bCs/>
          <w:lang w:eastAsia="en-US"/>
        </w:rPr>
      </w:pPr>
      <w:r w:rsidRPr="008D72C8">
        <w:rPr>
          <w:rFonts w:ascii="Times New Roman" w:hAnsi="Times New Roman"/>
          <w:lang w:eastAsia="en-US"/>
        </w:rPr>
        <w:t xml:space="preserve">Если у </w:t>
      </w:r>
      <w:r w:rsidR="00386EEF" w:rsidRPr="008D72C8">
        <w:rPr>
          <w:rFonts w:ascii="Times New Roman" w:hAnsi="Times New Roman"/>
          <w:lang w:eastAsia="en-US"/>
        </w:rPr>
        <w:t>потенциальн</w:t>
      </w:r>
      <w:r w:rsidR="00055811" w:rsidRPr="008D72C8">
        <w:rPr>
          <w:rFonts w:ascii="Times New Roman" w:hAnsi="Times New Roman"/>
          <w:lang w:eastAsia="en-US"/>
        </w:rPr>
        <w:t>ых</w:t>
      </w:r>
      <w:r w:rsidR="00386EEF" w:rsidRPr="008D72C8">
        <w:rPr>
          <w:rFonts w:ascii="Times New Roman" w:hAnsi="Times New Roman"/>
          <w:lang w:eastAsia="en-US"/>
        </w:rPr>
        <w:t xml:space="preserve"> ЛПИ/ЛПИ</w:t>
      </w:r>
      <w:r w:rsidRPr="008D72C8">
        <w:rPr>
          <w:rFonts w:ascii="Times New Roman" w:hAnsi="Times New Roman"/>
          <w:lang w:eastAsia="en-US"/>
        </w:rPr>
        <w:t xml:space="preserve"> финансовое положение </w:t>
      </w:r>
      <w:r w:rsidR="00E116B8" w:rsidRPr="008D72C8">
        <w:rPr>
          <w:rFonts w:ascii="Times New Roman" w:hAnsi="Times New Roman"/>
          <w:lang w:eastAsia="en-US"/>
        </w:rPr>
        <w:t>«</w:t>
      </w:r>
      <w:r w:rsidRPr="008D72C8">
        <w:rPr>
          <w:rFonts w:ascii="Times New Roman" w:hAnsi="Times New Roman"/>
          <w:lang w:eastAsia="en-US"/>
        </w:rPr>
        <w:t>плохое</w:t>
      </w:r>
      <w:r w:rsidR="00E116B8" w:rsidRPr="008D72C8">
        <w:rPr>
          <w:rFonts w:ascii="Times New Roman" w:hAnsi="Times New Roman"/>
          <w:lang w:eastAsia="en-US"/>
        </w:rPr>
        <w:t>»</w:t>
      </w:r>
      <w:r w:rsidRPr="008D72C8">
        <w:rPr>
          <w:rFonts w:ascii="Times New Roman" w:hAnsi="Times New Roman"/>
          <w:lang w:eastAsia="en-US"/>
        </w:rPr>
        <w:t xml:space="preserve"> и привлечён Поручитель, то </w:t>
      </w:r>
      <w:r w:rsidR="00386EEF" w:rsidRPr="008D72C8">
        <w:rPr>
          <w:rFonts w:ascii="Times New Roman" w:hAnsi="Times New Roman"/>
          <w:lang w:eastAsia="en-US"/>
        </w:rPr>
        <w:t>размещение инвестиционного предложения</w:t>
      </w:r>
      <w:r w:rsidRPr="008D72C8">
        <w:rPr>
          <w:rFonts w:ascii="Times New Roman" w:hAnsi="Times New Roman"/>
          <w:lang w:eastAsia="en-US"/>
        </w:rPr>
        <w:t xml:space="preserve"> </w:t>
      </w:r>
      <w:r w:rsidR="00BC3901" w:rsidRPr="008D72C8">
        <w:rPr>
          <w:rFonts w:ascii="Times New Roman" w:hAnsi="Times New Roman"/>
          <w:lang w:eastAsia="en-US"/>
        </w:rPr>
        <w:t>возможн</w:t>
      </w:r>
      <w:r w:rsidR="00386EEF" w:rsidRPr="008D72C8">
        <w:rPr>
          <w:rFonts w:ascii="Times New Roman" w:hAnsi="Times New Roman"/>
          <w:lang w:eastAsia="en-US"/>
        </w:rPr>
        <w:t>о</w:t>
      </w:r>
      <w:r w:rsidR="00BC3901" w:rsidRPr="008D72C8">
        <w:rPr>
          <w:rFonts w:ascii="Times New Roman" w:hAnsi="Times New Roman"/>
          <w:lang w:eastAsia="en-US"/>
        </w:rPr>
        <w:t xml:space="preserve"> лишь </w:t>
      </w:r>
      <w:r w:rsidR="00531893" w:rsidRPr="008D72C8">
        <w:rPr>
          <w:rFonts w:ascii="Times New Roman" w:hAnsi="Times New Roman"/>
          <w:lang w:eastAsia="en-US"/>
        </w:rPr>
        <w:t>в том случае, если рейтинг кредитоспособности Поручителя не ниже «</w:t>
      </w:r>
      <w:r w:rsidR="00426E52" w:rsidRPr="008D72C8">
        <w:rPr>
          <w:rFonts w:ascii="Times New Roman" w:hAnsi="Times New Roman"/>
          <w:lang w:eastAsia="en-US"/>
        </w:rPr>
        <w:t>среднего</w:t>
      </w:r>
      <w:r w:rsidR="00531893" w:rsidRPr="008D72C8">
        <w:rPr>
          <w:rFonts w:ascii="Times New Roman" w:hAnsi="Times New Roman"/>
          <w:lang w:eastAsia="en-US"/>
        </w:rPr>
        <w:t xml:space="preserve">». </w:t>
      </w:r>
      <w:r w:rsidRPr="008D72C8">
        <w:rPr>
          <w:rFonts w:ascii="Times New Roman" w:hAnsi="Times New Roman"/>
          <w:lang w:eastAsia="en-US"/>
        </w:rPr>
        <w:t xml:space="preserve"> </w:t>
      </w:r>
      <w:r w:rsidR="00531893" w:rsidRPr="008D72C8">
        <w:rPr>
          <w:rFonts w:ascii="Times New Roman" w:hAnsi="Times New Roman"/>
          <w:lang w:eastAsia="en-US"/>
        </w:rPr>
        <w:br/>
      </w:r>
      <w:r w:rsidR="00531893" w:rsidRPr="008D72C8">
        <w:rPr>
          <w:rFonts w:ascii="Times New Roman" w:hAnsi="Times New Roman"/>
          <w:lang w:eastAsia="en-US"/>
        </w:rPr>
        <w:br/>
      </w:r>
      <w:r w:rsidR="00F14596" w:rsidRPr="008D72C8">
        <w:rPr>
          <w:rFonts w:ascii="Times New Roman" w:hAnsi="Times New Roman"/>
          <w:bCs/>
          <w:lang w:eastAsia="en-US"/>
        </w:rPr>
        <w:t>…</w:t>
      </w:r>
    </w:p>
    <w:p w14:paraId="57912E43" w14:textId="43A88836" w:rsidR="00081341" w:rsidRPr="008D72C8" w:rsidRDefault="00DD4677" w:rsidP="00081341">
      <w:pPr>
        <w:jc w:val="both"/>
        <w:rPr>
          <w:rFonts w:ascii="Times New Roman" w:hAnsi="Times New Roman"/>
          <w:lang w:eastAsia="en-US"/>
        </w:rPr>
      </w:pPr>
      <w:r w:rsidRPr="008D72C8">
        <w:rPr>
          <w:rFonts w:ascii="Times New Roman" w:hAnsi="Times New Roman"/>
          <w:bCs/>
          <w:lang w:eastAsia="en-US"/>
        </w:rPr>
        <w:br/>
        <w:t xml:space="preserve">3.3. В иных случаях, если деятельность </w:t>
      </w:r>
      <w:r w:rsidR="006D0B9C" w:rsidRPr="008D72C8">
        <w:rPr>
          <w:rFonts w:ascii="Times New Roman" w:hAnsi="Times New Roman"/>
          <w:bCs/>
          <w:lang w:eastAsia="en-US"/>
        </w:rPr>
        <w:t xml:space="preserve">потенциального ЛПИ/ЛПИ </w:t>
      </w:r>
      <w:r w:rsidRPr="008D72C8">
        <w:rPr>
          <w:rFonts w:ascii="Times New Roman" w:hAnsi="Times New Roman"/>
          <w:bCs/>
          <w:lang w:eastAsia="en-US"/>
        </w:rPr>
        <w:t xml:space="preserve">не предполагает систематических ежемесячных поступлений на расчетный счет, а доход зависит от выполненных проектов, </w:t>
      </w:r>
      <w:r w:rsidR="006F34E5" w:rsidRPr="008D72C8">
        <w:rPr>
          <w:rFonts w:ascii="Times New Roman" w:hAnsi="Times New Roman"/>
          <w:bCs/>
          <w:lang w:eastAsia="en-US"/>
        </w:rPr>
        <w:t xml:space="preserve">возможна оценка кредитоспособности проекта со сроком </w:t>
      </w:r>
      <w:r w:rsidR="00E0368F" w:rsidRPr="008D72C8">
        <w:rPr>
          <w:rFonts w:ascii="Times New Roman" w:hAnsi="Times New Roman"/>
          <w:bCs/>
          <w:lang w:eastAsia="en-US"/>
        </w:rPr>
        <w:t xml:space="preserve">государственной </w:t>
      </w:r>
      <w:r w:rsidR="006F34E5" w:rsidRPr="008D72C8">
        <w:rPr>
          <w:rFonts w:ascii="Times New Roman" w:hAnsi="Times New Roman"/>
          <w:bCs/>
          <w:lang w:eastAsia="en-US"/>
        </w:rPr>
        <w:t>регистрации</w:t>
      </w:r>
      <w:r w:rsidR="006D0B9C" w:rsidRPr="008D72C8">
        <w:t xml:space="preserve"> </w:t>
      </w:r>
      <w:r w:rsidR="006D0B9C" w:rsidRPr="008D72C8">
        <w:rPr>
          <w:rFonts w:ascii="Times New Roman" w:hAnsi="Times New Roman"/>
          <w:bCs/>
          <w:lang w:eastAsia="en-US"/>
        </w:rPr>
        <w:t>потенциального ЛПИ/ЛПИ</w:t>
      </w:r>
      <w:r w:rsidR="006F34E5" w:rsidRPr="008D72C8">
        <w:rPr>
          <w:rFonts w:ascii="Times New Roman" w:hAnsi="Times New Roman"/>
          <w:bCs/>
          <w:lang w:eastAsia="en-US"/>
        </w:rPr>
        <w:t xml:space="preserve"> не менее 12 месяцев.</w:t>
      </w:r>
      <w:r w:rsidR="00081341" w:rsidRPr="008D72C8">
        <w:rPr>
          <w:rFonts w:ascii="Times New Roman" w:hAnsi="Times New Roman"/>
          <w:bCs/>
          <w:lang w:eastAsia="en-US"/>
        </w:rPr>
        <w:br/>
      </w:r>
      <w:r w:rsidR="00081341" w:rsidRPr="008D72C8">
        <w:rPr>
          <w:rFonts w:ascii="Times New Roman" w:hAnsi="Times New Roman"/>
          <w:bCs/>
          <w:lang w:eastAsia="en-US"/>
        </w:rPr>
        <w:br/>
      </w:r>
      <w:r w:rsidR="00081341" w:rsidRPr="008D72C8">
        <w:rPr>
          <w:rFonts w:ascii="Times New Roman" w:hAnsi="Times New Roman"/>
          <w:lang w:eastAsia="en-US"/>
        </w:rPr>
        <w:t>При оценке рейтинга кредитоспособности проекта потенциальных ЛПИ/ЛПИ учитывается ряд показателей, основные из которых это:</w:t>
      </w:r>
    </w:p>
    <w:p w14:paraId="77A89DC6" w14:textId="09F3057E" w:rsidR="00081341" w:rsidRPr="008D72C8" w:rsidRDefault="00081341"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количество завершенных проектов;</w:t>
      </w:r>
    </w:p>
    <w:p w14:paraId="4B2656E3" w14:textId="4488A25B" w:rsidR="004E0FE9"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динамика роста цены объекта;</w:t>
      </w:r>
    </w:p>
    <w:p w14:paraId="1AB9A22E" w14:textId="42CFB497" w:rsidR="00081341"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дисконта при покупке объекта;</w:t>
      </w:r>
    </w:p>
    <w:p w14:paraId="354FD6D4" w14:textId="6EFED1E7" w:rsidR="004E0FE9"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 xml:space="preserve">кредитная история и </w:t>
      </w:r>
      <w:r w:rsidR="00D447CB" w:rsidRPr="008D72C8">
        <w:rPr>
          <w:rFonts w:ascii="Times New Roman" w:hAnsi="Times New Roman"/>
          <w:lang w:eastAsia="en-US"/>
        </w:rPr>
        <w:t xml:space="preserve">кредитная </w:t>
      </w:r>
      <w:r w:rsidRPr="008D72C8">
        <w:rPr>
          <w:rFonts w:ascii="Times New Roman" w:hAnsi="Times New Roman"/>
          <w:lang w:eastAsia="en-US"/>
        </w:rPr>
        <w:t>нагрузка на проект;</w:t>
      </w:r>
    </w:p>
    <w:p w14:paraId="7DE67E2D" w14:textId="340B1EC6" w:rsidR="00081341"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рентабельность инвестиций</w:t>
      </w:r>
      <w:r w:rsidR="00081341" w:rsidRPr="008D72C8">
        <w:rPr>
          <w:rFonts w:ascii="Times New Roman" w:hAnsi="Times New Roman"/>
          <w:lang w:eastAsia="en-US"/>
        </w:rPr>
        <w:t>;</w:t>
      </w:r>
    </w:p>
    <w:p w14:paraId="29A858E3" w14:textId="41C3F077" w:rsidR="004E0FE9"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соотношение цены реализации к затратам;</w:t>
      </w:r>
    </w:p>
    <w:p w14:paraId="14ECEA16" w14:textId="45B0574C" w:rsidR="004E0FE9" w:rsidRPr="008D72C8" w:rsidRDefault="004E0FE9" w:rsidP="00081341">
      <w:pPr>
        <w:numPr>
          <w:ilvl w:val="0"/>
          <w:numId w:val="1"/>
        </w:numPr>
        <w:spacing w:after="0"/>
        <w:jc w:val="both"/>
        <w:rPr>
          <w:rFonts w:ascii="Times New Roman" w:hAnsi="Times New Roman"/>
          <w:lang w:eastAsia="en-US"/>
        </w:rPr>
      </w:pPr>
      <w:r w:rsidRPr="008D72C8">
        <w:rPr>
          <w:rFonts w:ascii="Times New Roman" w:hAnsi="Times New Roman"/>
          <w:lang w:eastAsia="en-US"/>
        </w:rPr>
        <w:t>наличие задолженности перед бюджетом.</w:t>
      </w:r>
    </w:p>
    <w:p w14:paraId="653EF574" w14:textId="7C0E46B9" w:rsidR="00081341" w:rsidRPr="008D72C8" w:rsidRDefault="00081341" w:rsidP="00081341">
      <w:pPr>
        <w:jc w:val="both"/>
        <w:rPr>
          <w:rFonts w:ascii="Times New Roman" w:hAnsi="Times New Roman"/>
          <w:lang w:eastAsia="en-US"/>
        </w:rPr>
      </w:pPr>
      <w:r w:rsidRPr="008D72C8">
        <w:rPr>
          <w:rFonts w:ascii="Times New Roman" w:hAnsi="Times New Roman"/>
          <w:b/>
          <w:bCs/>
          <w:lang w:eastAsia="en-US"/>
        </w:rPr>
        <w:t>Кредитоспособность</w:t>
      </w:r>
      <w:r w:rsidRPr="008D72C8">
        <w:rPr>
          <w:rFonts w:ascii="Times New Roman" w:hAnsi="Times New Roman"/>
          <w:lang w:eastAsia="en-US"/>
        </w:rPr>
        <w:t xml:space="preserve"> </w:t>
      </w:r>
      <w:r w:rsidR="004E0FE9" w:rsidRPr="008D72C8">
        <w:rPr>
          <w:rFonts w:ascii="Times New Roman" w:hAnsi="Times New Roman"/>
          <w:b/>
          <w:bCs/>
          <w:lang w:eastAsia="en-US"/>
        </w:rPr>
        <w:t xml:space="preserve">проекта </w:t>
      </w:r>
      <w:r w:rsidRPr="008D72C8">
        <w:rPr>
          <w:rFonts w:ascii="Times New Roman" w:hAnsi="Times New Roman"/>
          <w:lang w:eastAsia="en-US"/>
        </w:rPr>
        <w:t xml:space="preserve">– </w:t>
      </w:r>
      <w:r w:rsidR="00C273FD" w:rsidRPr="008D72C8">
        <w:rPr>
          <w:rFonts w:ascii="Times New Roman" w:hAnsi="Times New Roman"/>
          <w:lang w:eastAsia="en-US"/>
        </w:rPr>
        <w:t>это комплекс параметров, необходимых для принятия решения</w:t>
      </w:r>
      <w:r w:rsidR="006D0B9C" w:rsidRPr="008D72C8">
        <w:rPr>
          <w:rFonts w:ascii="Times New Roman" w:hAnsi="Times New Roman"/>
          <w:lang w:eastAsia="en-US"/>
        </w:rPr>
        <w:t xml:space="preserve"> Оператором.</w:t>
      </w:r>
    </w:p>
    <w:p w14:paraId="3B5B44B3" w14:textId="77777777" w:rsidR="00081341" w:rsidRPr="008D72C8" w:rsidRDefault="00081341" w:rsidP="00081341">
      <w:pPr>
        <w:jc w:val="both"/>
        <w:rPr>
          <w:rFonts w:ascii="Times New Roman" w:hAnsi="Times New Roman"/>
          <w:lang w:eastAsia="en-US"/>
        </w:rPr>
      </w:pPr>
      <w:r w:rsidRPr="008D72C8">
        <w:rPr>
          <w:rFonts w:ascii="Times New Roman" w:hAnsi="Times New Roman"/>
          <w:lang w:eastAsia="en-US"/>
        </w:rPr>
        <w:t>Каждому показателю присваивается балл и вес. Итоговое значение по каждому параметру определяется как произведение количества баллов и веса показателя (в зависимости от значения).</w:t>
      </w:r>
    </w:p>
    <w:p w14:paraId="37674D89" w14:textId="1411D425" w:rsidR="00081341" w:rsidRPr="008D72C8" w:rsidRDefault="00081341" w:rsidP="00081341">
      <w:pPr>
        <w:jc w:val="both"/>
        <w:rPr>
          <w:rFonts w:ascii="Times New Roman" w:hAnsi="Times New Roman"/>
          <w:lang w:eastAsia="en-US"/>
        </w:rPr>
      </w:pPr>
      <w:r w:rsidRPr="008D72C8">
        <w:rPr>
          <w:rFonts w:ascii="Times New Roman" w:hAnsi="Times New Roman"/>
          <w:lang w:eastAsia="en-US"/>
        </w:rPr>
        <w:t>Оценка рейтинга кредитоспособности</w:t>
      </w:r>
      <w:r w:rsidR="00C273FD" w:rsidRPr="008D72C8">
        <w:rPr>
          <w:rFonts w:ascii="Times New Roman" w:hAnsi="Times New Roman"/>
          <w:lang w:eastAsia="en-US"/>
        </w:rPr>
        <w:t xml:space="preserve"> проекта</w:t>
      </w:r>
      <w:r w:rsidRPr="008D72C8">
        <w:rPr>
          <w:rFonts w:ascii="Times New Roman" w:hAnsi="Times New Roman"/>
          <w:lang w:eastAsia="en-US"/>
        </w:rPr>
        <w:t xml:space="preserve"> рассчитывается как сумма итоговых значений по каждому показателю.</w:t>
      </w:r>
      <w:r w:rsidRPr="008D72C8">
        <w:rPr>
          <w:rFonts w:ascii="Times New Roman" w:hAnsi="Times New Roman"/>
          <w:b/>
          <w:lang w:eastAsia="en-US"/>
        </w:rPr>
        <w:t xml:space="preserve"> </w:t>
      </w:r>
      <w:r w:rsidRPr="008D72C8">
        <w:rPr>
          <w:rFonts w:ascii="Times New Roman" w:hAnsi="Times New Roman"/>
          <w:lang w:eastAsia="en-US"/>
        </w:rPr>
        <w:t>По результатам проведенного анализа рейтинга кредитоспособности, потенциальные ЛПИ/ЛПИ могут иметь одну из категорий рейтинга: «хороший», «средний», «плохой».</w:t>
      </w:r>
    </w:p>
    <w:p w14:paraId="111657B1" w14:textId="0B044146" w:rsidR="00081341" w:rsidRPr="008D72C8" w:rsidRDefault="00081341" w:rsidP="00081341">
      <w:pPr>
        <w:jc w:val="both"/>
        <w:rPr>
          <w:rFonts w:ascii="Times New Roman" w:hAnsi="Times New Roman"/>
          <w:lang w:eastAsia="en-US"/>
        </w:rPr>
      </w:pPr>
      <w:r w:rsidRPr="008D72C8">
        <w:rPr>
          <w:rFonts w:ascii="Times New Roman" w:hAnsi="Times New Roman"/>
          <w:lang w:eastAsia="en-US"/>
        </w:rPr>
        <w:t xml:space="preserve">Размещение инвестиционного предложения возможно при попадании в категорию с рейтингом не ниже «средний». </w:t>
      </w:r>
    </w:p>
    <w:p w14:paraId="4FE7B269" w14:textId="5615521B" w:rsidR="00F14596" w:rsidRPr="008D72C8" w:rsidRDefault="00081341" w:rsidP="00F14596">
      <w:pPr>
        <w:tabs>
          <w:tab w:val="left" w:pos="1134"/>
        </w:tabs>
        <w:spacing w:after="0" w:line="240" w:lineRule="auto"/>
        <w:ind w:firstLine="567"/>
        <w:contextualSpacing/>
        <w:jc w:val="both"/>
        <w:rPr>
          <w:rFonts w:ascii="Times New Roman" w:hAnsi="Times New Roman"/>
          <w:lang w:eastAsia="en-US"/>
        </w:rPr>
      </w:pPr>
      <w:r w:rsidRPr="008D72C8">
        <w:rPr>
          <w:rFonts w:ascii="Times New Roman" w:hAnsi="Times New Roman"/>
          <w:lang w:eastAsia="en-US"/>
        </w:rPr>
        <w:lastRenderedPageBreak/>
        <w:t>В некоторых случаях возможно</w:t>
      </w:r>
      <w:r w:rsidR="00163E5B" w:rsidRPr="008D72C8">
        <w:rPr>
          <w:rFonts w:ascii="Times New Roman" w:hAnsi="Times New Roman"/>
          <w:lang w:eastAsia="en-US"/>
        </w:rPr>
        <w:t xml:space="preserve"> </w:t>
      </w:r>
      <w:r w:rsidRPr="008D72C8">
        <w:rPr>
          <w:rFonts w:ascii="Times New Roman" w:hAnsi="Times New Roman"/>
          <w:lang w:eastAsia="en-US"/>
        </w:rPr>
        <w:t>привлечение в Поручители прочих лиц (преимущественно связанных)</w:t>
      </w:r>
      <w:r w:rsidR="005E4F17" w:rsidRPr="008D72C8">
        <w:rPr>
          <w:rFonts w:ascii="Times New Roman" w:hAnsi="Times New Roman"/>
          <w:lang w:eastAsia="en-US"/>
        </w:rPr>
        <w:t>, в</w:t>
      </w:r>
      <w:r w:rsidRPr="008D72C8">
        <w:rPr>
          <w:rFonts w:ascii="Times New Roman" w:hAnsi="Times New Roman"/>
          <w:lang w:eastAsia="en-US"/>
        </w:rPr>
        <w:t xml:space="preserve"> таком случае рейтинг кредитоспособности Поручителя должен быть не ниже «среднего» для возможного размещения инвестиционного предложения. </w:t>
      </w:r>
      <w:r w:rsidR="009D01C4" w:rsidRPr="008D72C8">
        <w:rPr>
          <w:rFonts w:ascii="Times New Roman" w:hAnsi="Times New Roman"/>
          <w:lang w:eastAsia="en-US"/>
        </w:rPr>
        <w:t>В некоторых случаях</w:t>
      </w:r>
      <w:r w:rsidR="00163E5B" w:rsidRPr="008D72C8">
        <w:rPr>
          <w:rFonts w:ascii="Times New Roman" w:hAnsi="Times New Roman"/>
          <w:lang w:eastAsia="en-US"/>
        </w:rPr>
        <w:t xml:space="preserve"> возможно привлечение дополнительного обеспечения – Залога. </w:t>
      </w:r>
      <w:r w:rsidR="00B603FD" w:rsidRPr="008D72C8">
        <w:rPr>
          <w:rFonts w:ascii="Times New Roman" w:hAnsi="Times New Roman"/>
          <w:lang w:eastAsia="en-US"/>
        </w:rPr>
        <w:br/>
      </w:r>
      <w:r w:rsidR="00B603FD" w:rsidRPr="008D72C8">
        <w:rPr>
          <w:rFonts w:ascii="Times New Roman" w:hAnsi="Times New Roman"/>
          <w:lang w:eastAsia="en-US"/>
        </w:rPr>
        <w:br/>
      </w:r>
      <w:r w:rsidR="00F14596" w:rsidRPr="008D72C8">
        <w:rPr>
          <w:rFonts w:ascii="Times New Roman" w:hAnsi="Times New Roman"/>
          <w:lang w:eastAsia="en-US"/>
        </w:rPr>
        <w:t>…</w:t>
      </w:r>
    </w:p>
    <w:p w14:paraId="2E705B3E" w14:textId="3CAC4366" w:rsidR="00043F08" w:rsidRPr="008D72C8" w:rsidRDefault="00531893" w:rsidP="008D7AA2">
      <w:pPr>
        <w:tabs>
          <w:tab w:val="left" w:pos="1134"/>
        </w:tabs>
        <w:spacing w:after="0" w:line="240" w:lineRule="auto"/>
        <w:ind w:firstLine="567"/>
        <w:jc w:val="both"/>
        <w:rPr>
          <w:rFonts w:ascii="Times New Roman" w:hAnsi="Times New Roman"/>
          <w:bCs/>
          <w:u w:val="single"/>
          <w:lang w:eastAsia="en-US"/>
        </w:rPr>
      </w:pPr>
      <w:r w:rsidRPr="008D72C8">
        <w:rPr>
          <w:rFonts w:ascii="Times New Roman" w:hAnsi="Times New Roman"/>
          <w:lang w:eastAsia="en-US"/>
        </w:rPr>
        <w:tab/>
      </w:r>
    </w:p>
    <w:p w14:paraId="27691BFD" w14:textId="75B7295C" w:rsidR="00470EC8" w:rsidRPr="008D72C8" w:rsidRDefault="00E4072F" w:rsidP="00B90381">
      <w:pPr>
        <w:spacing w:after="0"/>
        <w:jc w:val="both"/>
        <w:rPr>
          <w:rFonts w:ascii="Times New Roman" w:hAnsi="Times New Roman"/>
          <w:b/>
          <w:bCs/>
          <w:lang w:eastAsia="en-US"/>
        </w:rPr>
      </w:pPr>
      <w:r w:rsidRPr="008D72C8">
        <w:rPr>
          <w:rFonts w:ascii="Times New Roman" w:hAnsi="Times New Roman"/>
          <w:b/>
          <w:bCs/>
          <w:lang w:eastAsia="en-US"/>
        </w:rPr>
        <w:t>4</w:t>
      </w:r>
      <w:r w:rsidR="00114806" w:rsidRPr="008D72C8">
        <w:rPr>
          <w:rFonts w:ascii="Times New Roman" w:hAnsi="Times New Roman"/>
          <w:b/>
          <w:bCs/>
          <w:lang w:eastAsia="en-US"/>
        </w:rPr>
        <w:t>. Перечень</w:t>
      </w:r>
      <w:r w:rsidR="005E5502" w:rsidRPr="008D72C8">
        <w:rPr>
          <w:rFonts w:ascii="Times New Roman" w:hAnsi="Times New Roman"/>
          <w:b/>
          <w:bCs/>
          <w:lang w:eastAsia="en-US"/>
        </w:rPr>
        <w:t xml:space="preserve"> </w:t>
      </w:r>
      <w:r w:rsidR="00114806" w:rsidRPr="008D72C8">
        <w:rPr>
          <w:rFonts w:ascii="Times New Roman" w:hAnsi="Times New Roman"/>
          <w:b/>
          <w:bCs/>
          <w:lang w:eastAsia="en-US"/>
        </w:rPr>
        <w:t>показателей потенциальных ЛПИ/ЛПИ</w:t>
      </w:r>
      <w:r w:rsidR="005E5502" w:rsidRPr="008D72C8">
        <w:rPr>
          <w:rFonts w:ascii="Times New Roman" w:hAnsi="Times New Roman"/>
          <w:b/>
          <w:bCs/>
          <w:lang w:eastAsia="en-US"/>
        </w:rPr>
        <w:t xml:space="preserve"> юридических лиц</w:t>
      </w:r>
      <w:r w:rsidR="004E69B9" w:rsidRPr="008D72C8">
        <w:rPr>
          <w:rFonts w:ascii="Times New Roman" w:hAnsi="Times New Roman"/>
          <w:b/>
          <w:bCs/>
          <w:lang w:eastAsia="en-US"/>
        </w:rPr>
        <w:t xml:space="preserve"> </w:t>
      </w:r>
      <w:r w:rsidR="005E5502" w:rsidRPr="008D72C8">
        <w:rPr>
          <w:rFonts w:ascii="Times New Roman" w:hAnsi="Times New Roman"/>
          <w:b/>
          <w:bCs/>
          <w:lang w:eastAsia="en-US"/>
        </w:rPr>
        <w:t xml:space="preserve">согласно годовой бухгалтерской отчетности, </w:t>
      </w:r>
      <w:r w:rsidR="004E69B9" w:rsidRPr="008D72C8">
        <w:rPr>
          <w:rFonts w:ascii="Times New Roman" w:hAnsi="Times New Roman"/>
          <w:b/>
          <w:bCs/>
          <w:lang w:eastAsia="en-US"/>
        </w:rPr>
        <w:t>вне рамок скорингов</w:t>
      </w:r>
      <w:r w:rsidR="00F37E12" w:rsidRPr="008D72C8">
        <w:rPr>
          <w:rFonts w:ascii="Times New Roman" w:hAnsi="Times New Roman"/>
          <w:b/>
          <w:bCs/>
          <w:lang w:eastAsia="en-US"/>
        </w:rPr>
        <w:t xml:space="preserve"> рейтинга кредитоспособности и финансового положения</w:t>
      </w:r>
      <w:r w:rsidR="005E5502" w:rsidRPr="008D72C8">
        <w:rPr>
          <w:rFonts w:ascii="Times New Roman" w:hAnsi="Times New Roman"/>
          <w:b/>
          <w:bCs/>
          <w:lang w:eastAsia="en-US"/>
        </w:rPr>
        <w:t xml:space="preserve"> </w:t>
      </w:r>
      <w:r w:rsidR="00737F48" w:rsidRPr="008D72C8">
        <w:rPr>
          <w:rFonts w:ascii="Times New Roman" w:hAnsi="Times New Roman"/>
          <w:b/>
          <w:bCs/>
          <w:lang w:eastAsia="en-US"/>
        </w:rPr>
        <w:t xml:space="preserve">дополнительная </w:t>
      </w:r>
      <w:r w:rsidR="005E5502" w:rsidRPr="008D72C8">
        <w:rPr>
          <w:rFonts w:ascii="Times New Roman" w:hAnsi="Times New Roman"/>
          <w:b/>
          <w:bCs/>
          <w:lang w:eastAsia="en-US"/>
        </w:rPr>
        <w:t>информации</w:t>
      </w:r>
      <w:r w:rsidR="00737F48" w:rsidRPr="008D72C8">
        <w:rPr>
          <w:rFonts w:ascii="Times New Roman" w:hAnsi="Times New Roman"/>
          <w:b/>
          <w:bCs/>
          <w:lang w:eastAsia="en-US"/>
        </w:rPr>
        <w:t xml:space="preserve"> для принятия решения</w:t>
      </w:r>
    </w:p>
    <w:p w14:paraId="066370CF" w14:textId="668B43A0" w:rsidR="00734488" w:rsidRPr="008D72C8" w:rsidRDefault="00E4072F" w:rsidP="00B90381">
      <w:pPr>
        <w:spacing w:after="0"/>
        <w:jc w:val="both"/>
        <w:rPr>
          <w:rFonts w:ascii="Times New Roman" w:hAnsi="Times New Roman"/>
          <w:lang w:eastAsia="en-US"/>
        </w:rPr>
      </w:pPr>
      <w:r w:rsidRPr="008D72C8">
        <w:rPr>
          <w:rFonts w:ascii="Times New Roman" w:hAnsi="Times New Roman"/>
          <w:b/>
          <w:bCs/>
          <w:lang w:eastAsia="en-US"/>
        </w:rPr>
        <w:t>4</w:t>
      </w:r>
      <w:r w:rsidR="004E69B9" w:rsidRPr="008D72C8">
        <w:rPr>
          <w:rFonts w:ascii="Times New Roman" w:hAnsi="Times New Roman"/>
          <w:b/>
          <w:bCs/>
          <w:lang w:eastAsia="en-US"/>
        </w:rPr>
        <w:t xml:space="preserve">.1. </w:t>
      </w:r>
      <w:r w:rsidR="009E4E22" w:rsidRPr="008D72C8">
        <w:rPr>
          <w:rFonts w:ascii="Times New Roman" w:hAnsi="Times New Roman"/>
          <w:b/>
          <w:bCs/>
          <w:lang w:eastAsia="en-US"/>
        </w:rPr>
        <w:t xml:space="preserve"> </w:t>
      </w:r>
      <w:r w:rsidR="00734488" w:rsidRPr="008D72C8">
        <w:rPr>
          <w:rFonts w:ascii="Times New Roman" w:hAnsi="Times New Roman"/>
          <w:b/>
          <w:bCs/>
          <w:lang w:eastAsia="en-US"/>
        </w:rPr>
        <w:t>Коэффициенты устойчивости и кредитоспособности</w:t>
      </w:r>
      <w:r w:rsidR="00F555FA" w:rsidRPr="008D72C8">
        <w:rPr>
          <w:rFonts w:ascii="Times New Roman" w:hAnsi="Times New Roman"/>
          <w:b/>
          <w:bCs/>
          <w:lang w:eastAsia="en-US"/>
        </w:rPr>
        <w:t xml:space="preserve">, </w:t>
      </w:r>
      <w:r w:rsidR="00ED3049" w:rsidRPr="008D72C8">
        <w:rPr>
          <w:rFonts w:ascii="Times New Roman" w:hAnsi="Times New Roman"/>
          <w:b/>
          <w:bCs/>
          <w:lang w:eastAsia="en-US"/>
        </w:rPr>
        <w:t xml:space="preserve">в том числе прогнозируемые при составлении прогнозного управленческого баланса инвестиционного </w:t>
      </w:r>
      <w:r w:rsidR="003F1329" w:rsidRPr="008D72C8">
        <w:rPr>
          <w:rFonts w:ascii="Times New Roman" w:hAnsi="Times New Roman"/>
          <w:b/>
          <w:bCs/>
          <w:lang w:eastAsia="en-US"/>
        </w:rPr>
        <w:t xml:space="preserve">коммерческого </w:t>
      </w:r>
      <w:r w:rsidR="00ED3049" w:rsidRPr="008D72C8">
        <w:rPr>
          <w:rFonts w:ascii="Times New Roman" w:hAnsi="Times New Roman"/>
          <w:b/>
          <w:bCs/>
          <w:lang w:eastAsia="en-US"/>
        </w:rPr>
        <w:t>проекта</w:t>
      </w:r>
      <w:r w:rsidR="00F555FA" w:rsidRPr="008D72C8">
        <w:rPr>
          <w:rFonts w:ascii="Times New Roman" w:hAnsi="Times New Roman"/>
          <w:b/>
          <w:bCs/>
          <w:lang w:eastAsia="en-US"/>
        </w:rPr>
        <w:t xml:space="preserve"> со сроком государственной регистрации </w:t>
      </w:r>
      <w:r w:rsidR="00C845C6" w:rsidRPr="008D72C8">
        <w:rPr>
          <w:rFonts w:ascii="Times New Roman" w:hAnsi="Times New Roman"/>
          <w:b/>
          <w:bCs/>
          <w:lang w:eastAsia="en-US"/>
        </w:rPr>
        <w:t xml:space="preserve">компании </w:t>
      </w:r>
      <w:r w:rsidR="00F555FA" w:rsidRPr="008D72C8">
        <w:rPr>
          <w:rFonts w:ascii="Times New Roman" w:hAnsi="Times New Roman"/>
          <w:b/>
          <w:bCs/>
          <w:lang w:eastAsia="en-US"/>
        </w:rPr>
        <w:t>менее 12 месяцев</w:t>
      </w:r>
    </w:p>
    <w:p w14:paraId="2FEB7C02" w14:textId="77777777" w:rsidR="000C2974" w:rsidRPr="008D72C8" w:rsidRDefault="000C2974" w:rsidP="00B90381">
      <w:pPr>
        <w:spacing w:after="0"/>
        <w:jc w:val="both"/>
        <w:rPr>
          <w:rFonts w:ascii="Times New Roman" w:hAnsi="Times New Roman"/>
          <w:i/>
          <w:iCs/>
        </w:rPr>
      </w:pPr>
      <w:r w:rsidRPr="008D72C8">
        <w:rPr>
          <w:rFonts w:ascii="Times New Roman" w:hAnsi="Times New Roman"/>
          <w:i/>
          <w:iCs/>
        </w:rPr>
        <w:t>Анализ устойчивости и платежеспособности</w:t>
      </w:r>
    </w:p>
    <w:tbl>
      <w:tblPr>
        <w:tblW w:w="9064" w:type="dxa"/>
        <w:tblBorders>
          <w:top w:val="single" w:sz="12" w:space="0" w:color="6A6A6A"/>
          <w:left w:val="outset" w:sz="6" w:space="0" w:color="auto"/>
          <w:bottom w:val="single" w:sz="12" w:space="0" w:color="6A6A6A"/>
          <w:right w:val="outset" w:sz="6" w:space="0" w:color="auto"/>
        </w:tblBorders>
        <w:tblCellMar>
          <w:left w:w="0" w:type="dxa"/>
          <w:right w:w="0" w:type="dxa"/>
        </w:tblCellMar>
        <w:tblLook w:val="04A0" w:firstRow="1" w:lastRow="0" w:firstColumn="1" w:lastColumn="0" w:noHBand="0" w:noVBand="1"/>
      </w:tblPr>
      <w:tblGrid>
        <w:gridCol w:w="2596"/>
        <w:gridCol w:w="1924"/>
        <w:gridCol w:w="4544"/>
      </w:tblGrid>
      <w:tr w:rsidR="000F475A" w:rsidRPr="008D72C8" w14:paraId="650D435E" w14:textId="77777777" w:rsidTr="00DB0016">
        <w:tc>
          <w:tcPr>
            <w:tcW w:w="2596" w:type="dxa"/>
            <w:vMerge w:val="restart"/>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78012526" w14:textId="77777777" w:rsidR="000C2974" w:rsidRPr="008D72C8" w:rsidRDefault="000C2974" w:rsidP="00B90381">
            <w:pPr>
              <w:spacing w:after="0"/>
              <w:jc w:val="both"/>
              <w:rPr>
                <w:rFonts w:ascii="Times New Roman" w:hAnsi="Times New Roman"/>
              </w:rPr>
            </w:pPr>
            <w:r w:rsidRPr="008D72C8">
              <w:rPr>
                <w:rFonts w:ascii="Times New Roman" w:hAnsi="Times New Roman"/>
              </w:rPr>
              <w:t>Коэффициент</w:t>
            </w:r>
          </w:p>
        </w:tc>
        <w:tc>
          <w:tcPr>
            <w:tcW w:w="6468" w:type="dxa"/>
            <w:gridSpan w:val="2"/>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hideMark/>
          </w:tcPr>
          <w:p w14:paraId="5EFB2D7F" w14:textId="77777777" w:rsidR="000C2974" w:rsidRPr="008D72C8" w:rsidRDefault="000C2974" w:rsidP="00B90381">
            <w:pPr>
              <w:spacing w:after="0"/>
              <w:jc w:val="both"/>
              <w:rPr>
                <w:rFonts w:ascii="Times New Roman" w:hAnsi="Times New Roman"/>
              </w:rPr>
            </w:pPr>
            <w:r w:rsidRPr="008D72C8">
              <w:rPr>
                <w:rFonts w:ascii="Times New Roman" w:hAnsi="Times New Roman"/>
              </w:rPr>
              <w:t>Расчет и норматив</w:t>
            </w:r>
          </w:p>
        </w:tc>
      </w:tr>
      <w:tr w:rsidR="000F475A" w:rsidRPr="008D72C8" w14:paraId="257A4421" w14:textId="77777777" w:rsidTr="00DB0016">
        <w:tc>
          <w:tcPr>
            <w:tcW w:w="0" w:type="auto"/>
            <w:vMerge/>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48DE4C02" w14:textId="77777777" w:rsidR="000C2974" w:rsidRPr="008D72C8" w:rsidRDefault="000C2974" w:rsidP="00B90381">
            <w:pPr>
              <w:spacing w:after="0"/>
              <w:jc w:val="both"/>
              <w:rPr>
                <w:rFonts w:ascii="Times New Roman" w:hAnsi="Times New Roman"/>
              </w:rPr>
            </w:pPr>
          </w:p>
        </w:tc>
        <w:tc>
          <w:tcPr>
            <w:tcW w:w="192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316C0EC" w14:textId="77777777" w:rsidR="000C2974" w:rsidRPr="008D72C8" w:rsidRDefault="000C2974" w:rsidP="00B90381">
            <w:pPr>
              <w:spacing w:after="0"/>
              <w:jc w:val="both"/>
              <w:rPr>
                <w:rFonts w:ascii="Times New Roman" w:hAnsi="Times New Roman"/>
              </w:rPr>
            </w:pPr>
            <w:r w:rsidRPr="008D72C8">
              <w:rPr>
                <w:rFonts w:ascii="Times New Roman" w:hAnsi="Times New Roman"/>
              </w:rPr>
              <w:t>Формула</w:t>
            </w:r>
          </w:p>
        </w:tc>
        <w:tc>
          <w:tcPr>
            <w:tcW w:w="4544" w:type="dxa"/>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6AF3C931" w14:textId="77777777" w:rsidR="000C2974" w:rsidRPr="008D72C8" w:rsidRDefault="000C2974" w:rsidP="00B90381">
            <w:pPr>
              <w:spacing w:after="0"/>
              <w:jc w:val="both"/>
              <w:rPr>
                <w:rFonts w:ascii="Times New Roman" w:hAnsi="Times New Roman"/>
              </w:rPr>
            </w:pPr>
            <w:r w:rsidRPr="008D72C8">
              <w:rPr>
                <w:rFonts w:ascii="Times New Roman" w:hAnsi="Times New Roman"/>
              </w:rPr>
              <w:t>Рекомендуемый диапазон</w:t>
            </w:r>
          </w:p>
        </w:tc>
      </w:tr>
      <w:tr w:rsidR="000F475A" w:rsidRPr="008D72C8" w14:paraId="759F66DC" w14:textId="77777777" w:rsidTr="00C1068F">
        <w:trPr>
          <w:trHeight w:val="1359"/>
        </w:trPr>
        <w:tc>
          <w:tcPr>
            <w:tcW w:w="2596"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E946C0B" w14:textId="77777777" w:rsidR="000C2974" w:rsidRPr="008D72C8" w:rsidRDefault="000C2974" w:rsidP="00B90381">
            <w:pPr>
              <w:spacing w:after="0"/>
              <w:jc w:val="both"/>
              <w:rPr>
                <w:rFonts w:ascii="Times New Roman" w:hAnsi="Times New Roman"/>
              </w:rPr>
            </w:pPr>
            <w:r w:rsidRPr="008D72C8">
              <w:rPr>
                <w:rFonts w:ascii="Times New Roman" w:hAnsi="Times New Roman"/>
              </w:rPr>
              <w:t>Коэффициент финансовой независимости</w:t>
            </w:r>
          </w:p>
          <w:p w14:paraId="7F01DBD3" w14:textId="77777777" w:rsidR="000C2974" w:rsidRPr="008D72C8" w:rsidRDefault="000C2974" w:rsidP="00B90381">
            <w:pPr>
              <w:spacing w:after="0"/>
              <w:jc w:val="both"/>
              <w:rPr>
                <w:rFonts w:ascii="Times New Roman" w:hAnsi="Times New Roman"/>
              </w:rPr>
            </w:pPr>
          </w:p>
        </w:tc>
        <w:tc>
          <w:tcPr>
            <w:tcW w:w="192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055B3B32" w14:textId="77777777" w:rsidR="000C2974" w:rsidRPr="008D72C8" w:rsidRDefault="000C2974" w:rsidP="00B90381">
            <w:pPr>
              <w:spacing w:after="0"/>
              <w:jc w:val="both"/>
              <w:rPr>
                <w:rFonts w:ascii="Times New Roman" w:hAnsi="Times New Roman"/>
              </w:rPr>
            </w:pPr>
            <w:r w:rsidRPr="008D72C8">
              <w:rPr>
                <w:rFonts w:ascii="Times New Roman" w:hAnsi="Times New Roman"/>
              </w:rPr>
              <w:t>Собственный капитал / валюта баланса</w:t>
            </w:r>
            <w:r w:rsidR="00525639" w:rsidRPr="008D72C8">
              <w:rPr>
                <w:rFonts w:ascii="Times New Roman" w:hAnsi="Times New Roman"/>
              </w:rPr>
              <w:t xml:space="preserve"> *100</w:t>
            </w:r>
          </w:p>
        </w:tc>
        <w:tc>
          <w:tcPr>
            <w:tcW w:w="454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7FAA54A" w14:textId="77777777" w:rsidR="000C2974" w:rsidRPr="008D72C8" w:rsidRDefault="00F54CAC" w:rsidP="00B90381">
            <w:pPr>
              <w:spacing w:after="0"/>
              <w:jc w:val="both"/>
              <w:rPr>
                <w:rFonts w:ascii="Times New Roman" w:hAnsi="Times New Roman"/>
              </w:rPr>
            </w:pPr>
            <w:r w:rsidRPr="008D72C8">
              <w:rPr>
                <w:rFonts w:ascii="Times New Roman" w:hAnsi="Times New Roman"/>
              </w:rPr>
              <w:t xml:space="preserve">Не менее </w:t>
            </w:r>
            <w:r w:rsidR="00B43284" w:rsidRPr="008D72C8">
              <w:rPr>
                <w:rFonts w:ascii="Times New Roman" w:hAnsi="Times New Roman"/>
              </w:rPr>
              <w:t>3</w:t>
            </w:r>
            <w:r w:rsidRPr="008D72C8">
              <w:rPr>
                <w:rFonts w:ascii="Times New Roman" w:hAnsi="Times New Roman"/>
              </w:rPr>
              <w:t>0%</w:t>
            </w:r>
            <w:r w:rsidR="00B43284" w:rsidRPr="008D72C8">
              <w:rPr>
                <w:rFonts w:ascii="Times New Roman" w:hAnsi="Times New Roman"/>
              </w:rPr>
              <w:t xml:space="preserve"> для малых и средних</w:t>
            </w:r>
            <w:r w:rsidR="000C2974" w:rsidRPr="008D72C8">
              <w:rPr>
                <w:rFonts w:ascii="Times New Roman" w:hAnsi="Times New Roman"/>
              </w:rPr>
              <w:t xml:space="preserve"> (не менее </w:t>
            </w:r>
            <w:r w:rsidR="00B43284" w:rsidRPr="008D72C8">
              <w:rPr>
                <w:rFonts w:ascii="Times New Roman" w:hAnsi="Times New Roman"/>
              </w:rPr>
              <w:t xml:space="preserve">50 </w:t>
            </w:r>
            <w:r w:rsidRPr="008D72C8">
              <w:rPr>
                <w:rFonts w:ascii="Times New Roman" w:hAnsi="Times New Roman"/>
              </w:rPr>
              <w:t>%</w:t>
            </w:r>
            <w:r w:rsidR="000C2974" w:rsidRPr="008D72C8">
              <w:rPr>
                <w:rFonts w:ascii="Times New Roman" w:hAnsi="Times New Roman"/>
              </w:rPr>
              <w:t xml:space="preserve"> для микропредприятий)</w:t>
            </w:r>
            <w:r w:rsidR="00B43284" w:rsidRPr="008D72C8">
              <w:rPr>
                <w:rFonts w:ascii="Times New Roman" w:hAnsi="Times New Roman"/>
              </w:rPr>
              <w:t xml:space="preserve"> предприятий</w:t>
            </w:r>
          </w:p>
          <w:p w14:paraId="05A3BD3C" w14:textId="77777777" w:rsidR="000C2974" w:rsidRPr="008D72C8" w:rsidRDefault="000C2974" w:rsidP="00B90381">
            <w:pPr>
              <w:spacing w:after="0"/>
              <w:jc w:val="both"/>
              <w:rPr>
                <w:rFonts w:ascii="Times New Roman" w:hAnsi="Times New Roman"/>
              </w:rPr>
            </w:pPr>
            <w:r w:rsidRPr="008D72C8">
              <w:rPr>
                <w:rFonts w:ascii="Times New Roman" w:hAnsi="Times New Roman"/>
              </w:rPr>
              <w:t xml:space="preserve">Характеризует степень финансовой независимости от внешнего финансирования, это информация о долгосрочной стабильности. </w:t>
            </w:r>
          </w:p>
        </w:tc>
      </w:tr>
      <w:tr w:rsidR="000F475A" w:rsidRPr="008D72C8" w14:paraId="769C3590" w14:textId="77777777" w:rsidTr="00C1068F">
        <w:trPr>
          <w:trHeight w:val="1359"/>
        </w:trPr>
        <w:tc>
          <w:tcPr>
            <w:tcW w:w="2596"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7F39EB5F" w14:textId="77777777" w:rsidR="00F7667F" w:rsidRPr="008D72C8" w:rsidRDefault="00F7667F" w:rsidP="00B90381">
            <w:pPr>
              <w:spacing w:after="0"/>
              <w:jc w:val="both"/>
              <w:rPr>
                <w:rFonts w:ascii="Times New Roman" w:hAnsi="Times New Roman"/>
              </w:rPr>
            </w:pPr>
            <w:r w:rsidRPr="008D72C8">
              <w:rPr>
                <w:rFonts w:ascii="Times New Roman" w:hAnsi="Times New Roman"/>
              </w:rPr>
              <w:t>Коэффициент финансовой устойчивости</w:t>
            </w:r>
          </w:p>
        </w:tc>
        <w:tc>
          <w:tcPr>
            <w:tcW w:w="192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6C07999D" w14:textId="77777777" w:rsidR="00F7667F" w:rsidRPr="008D72C8" w:rsidRDefault="00F7667F" w:rsidP="00B90381">
            <w:pPr>
              <w:spacing w:after="0"/>
              <w:jc w:val="both"/>
              <w:rPr>
                <w:rFonts w:ascii="Times New Roman" w:hAnsi="Times New Roman"/>
              </w:rPr>
            </w:pPr>
            <w:r w:rsidRPr="008D72C8">
              <w:rPr>
                <w:rFonts w:ascii="Times New Roman" w:hAnsi="Times New Roman"/>
              </w:rPr>
              <w:t xml:space="preserve">(Собственный капитал </w:t>
            </w:r>
            <w:r w:rsidR="00703C2E" w:rsidRPr="008D72C8">
              <w:rPr>
                <w:rFonts w:ascii="Times New Roman" w:hAnsi="Times New Roman"/>
              </w:rPr>
              <w:t xml:space="preserve">+ </w:t>
            </w:r>
            <w:r w:rsidRPr="008D72C8">
              <w:rPr>
                <w:rFonts w:ascii="Times New Roman" w:hAnsi="Times New Roman"/>
              </w:rPr>
              <w:t xml:space="preserve">долгосрочные </w:t>
            </w:r>
            <w:r w:rsidR="009B3C54" w:rsidRPr="008D72C8">
              <w:rPr>
                <w:rFonts w:ascii="Times New Roman" w:hAnsi="Times New Roman"/>
              </w:rPr>
              <w:t>обязательства</w:t>
            </w:r>
            <w:r w:rsidRPr="008D72C8">
              <w:rPr>
                <w:rFonts w:ascii="Times New Roman" w:hAnsi="Times New Roman"/>
              </w:rPr>
              <w:t xml:space="preserve">) / валюта </w:t>
            </w:r>
            <w:r w:rsidR="00737F48" w:rsidRPr="008D72C8">
              <w:rPr>
                <w:rFonts w:ascii="Times New Roman" w:hAnsi="Times New Roman"/>
              </w:rPr>
              <w:t>баланса *</w:t>
            </w:r>
            <w:r w:rsidR="00525639" w:rsidRPr="008D72C8">
              <w:rPr>
                <w:rFonts w:ascii="Times New Roman" w:hAnsi="Times New Roman"/>
              </w:rPr>
              <w:t>100</w:t>
            </w:r>
          </w:p>
        </w:tc>
        <w:tc>
          <w:tcPr>
            <w:tcW w:w="454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7A9D10D8" w14:textId="77777777" w:rsidR="00F7667F" w:rsidRPr="008D72C8" w:rsidRDefault="00F7667F" w:rsidP="00B90381">
            <w:pPr>
              <w:spacing w:after="0"/>
              <w:jc w:val="both"/>
              <w:rPr>
                <w:rFonts w:ascii="Times New Roman" w:hAnsi="Times New Roman"/>
              </w:rPr>
            </w:pPr>
            <w:r w:rsidRPr="008D72C8">
              <w:rPr>
                <w:rFonts w:ascii="Times New Roman" w:hAnsi="Times New Roman"/>
              </w:rPr>
              <w:t xml:space="preserve">Не менее 60% </w:t>
            </w:r>
            <w:r w:rsidR="009B3C54" w:rsidRPr="008D72C8">
              <w:rPr>
                <w:rFonts w:ascii="Times New Roman" w:hAnsi="Times New Roman"/>
              </w:rPr>
              <w:br/>
            </w:r>
            <w:r w:rsidR="009B3C54" w:rsidRPr="008D72C8">
              <w:rPr>
                <w:rFonts w:ascii="Times New Roman" w:hAnsi="Times New Roman"/>
                <w:shd w:val="clear" w:color="auto" w:fill="FFFFFF"/>
              </w:rPr>
              <w:t>Демонстрирует, насколько активы компании профинансированы за счет надежных и долгосрочных источников.</w:t>
            </w:r>
          </w:p>
        </w:tc>
      </w:tr>
      <w:tr w:rsidR="000F475A" w:rsidRPr="008D72C8" w14:paraId="51CEAD34" w14:textId="77777777" w:rsidTr="00DB0016">
        <w:tc>
          <w:tcPr>
            <w:tcW w:w="2596"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61BFC255" w14:textId="77777777" w:rsidR="000C2974" w:rsidRPr="008D72C8" w:rsidRDefault="000C2974" w:rsidP="00B90381">
            <w:pPr>
              <w:spacing w:after="0"/>
              <w:jc w:val="both"/>
              <w:rPr>
                <w:rFonts w:ascii="Times New Roman" w:hAnsi="Times New Roman"/>
              </w:rPr>
            </w:pPr>
            <w:r w:rsidRPr="008D72C8">
              <w:rPr>
                <w:rFonts w:ascii="Times New Roman" w:hAnsi="Times New Roman"/>
              </w:rPr>
              <w:t>Коэффициент общей платежеспособности</w:t>
            </w:r>
          </w:p>
        </w:tc>
        <w:tc>
          <w:tcPr>
            <w:tcW w:w="192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48F1BCF" w14:textId="77777777" w:rsidR="000C2974" w:rsidRPr="008D72C8" w:rsidRDefault="000C2974" w:rsidP="00B90381">
            <w:pPr>
              <w:spacing w:after="0"/>
              <w:jc w:val="both"/>
              <w:rPr>
                <w:rFonts w:ascii="Times New Roman" w:hAnsi="Times New Roman"/>
              </w:rPr>
            </w:pPr>
            <w:r w:rsidRPr="008D72C8">
              <w:rPr>
                <w:rFonts w:ascii="Times New Roman" w:hAnsi="Times New Roman"/>
              </w:rPr>
              <w:t>Валюта баланса / заемный капитал</w:t>
            </w:r>
            <w:r w:rsidR="00525639" w:rsidRPr="008D72C8">
              <w:rPr>
                <w:rFonts w:ascii="Times New Roman" w:hAnsi="Times New Roman"/>
              </w:rPr>
              <w:t xml:space="preserve"> *100</w:t>
            </w:r>
          </w:p>
        </w:tc>
        <w:tc>
          <w:tcPr>
            <w:tcW w:w="454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12AA160" w14:textId="77777777" w:rsidR="000C2974" w:rsidRPr="008D72C8" w:rsidRDefault="00F7667F" w:rsidP="00B90381">
            <w:pPr>
              <w:spacing w:after="0"/>
              <w:jc w:val="both"/>
              <w:rPr>
                <w:rFonts w:ascii="Times New Roman" w:hAnsi="Times New Roman"/>
              </w:rPr>
            </w:pPr>
            <w:r w:rsidRPr="008D72C8">
              <w:rPr>
                <w:rFonts w:ascii="Times New Roman" w:hAnsi="Times New Roman"/>
              </w:rPr>
              <w:t>Не менее 70%</w:t>
            </w:r>
          </w:p>
          <w:p w14:paraId="6B7DBD29" w14:textId="77777777" w:rsidR="000C2974" w:rsidRPr="008D72C8" w:rsidRDefault="000C2974" w:rsidP="00B90381">
            <w:pPr>
              <w:spacing w:after="0"/>
              <w:jc w:val="both"/>
              <w:rPr>
                <w:rFonts w:ascii="Times New Roman" w:hAnsi="Times New Roman"/>
              </w:rPr>
            </w:pPr>
            <w:r w:rsidRPr="008D72C8">
              <w:rPr>
                <w:rFonts w:ascii="Times New Roman" w:hAnsi="Times New Roman"/>
              </w:rPr>
              <w:t>Характеризует долю средств, вложенных собственниками предприятия в его имущество, определяет степень независимости от кредиторов.</w:t>
            </w:r>
          </w:p>
        </w:tc>
      </w:tr>
      <w:tr w:rsidR="000F475A" w:rsidRPr="008D72C8" w14:paraId="06F63E28" w14:textId="77777777" w:rsidTr="00DB0016">
        <w:tc>
          <w:tcPr>
            <w:tcW w:w="2596"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00D77F88" w14:textId="77777777" w:rsidR="000C2974" w:rsidRPr="008D72C8" w:rsidRDefault="000C2974" w:rsidP="00B90381">
            <w:pPr>
              <w:spacing w:after="0"/>
              <w:jc w:val="both"/>
              <w:rPr>
                <w:rFonts w:ascii="Times New Roman" w:hAnsi="Times New Roman"/>
              </w:rPr>
            </w:pPr>
            <w:r w:rsidRPr="008D72C8">
              <w:rPr>
                <w:rFonts w:ascii="Times New Roman" w:hAnsi="Times New Roman"/>
              </w:rPr>
              <w:t>Коэффициент задолженности</w:t>
            </w:r>
          </w:p>
        </w:tc>
        <w:tc>
          <w:tcPr>
            <w:tcW w:w="192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66443D80" w14:textId="77777777" w:rsidR="000C2974" w:rsidRPr="008D72C8" w:rsidRDefault="000C2974" w:rsidP="00B90381">
            <w:pPr>
              <w:spacing w:after="0"/>
              <w:jc w:val="both"/>
              <w:rPr>
                <w:rFonts w:ascii="Times New Roman" w:hAnsi="Times New Roman"/>
              </w:rPr>
            </w:pPr>
            <w:r w:rsidRPr="008D72C8">
              <w:rPr>
                <w:rFonts w:ascii="Times New Roman" w:hAnsi="Times New Roman"/>
              </w:rPr>
              <w:t>Заемный капитал / собственный капитал</w:t>
            </w:r>
            <w:r w:rsidR="0053552D" w:rsidRPr="008D72C8">
              <w:rPr>
                <w:rFonts w:ascii="Times New Roman" w:hAnsi="Times New Roman"/>
              </w:rPr>
              <w:t xml:space="preserve"> *100</w:t>
            </w:r>
          </w:p>
        </w:tc>
        <w:tc>
          <w:tcPr>
            <w:tcW w:w="4544"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62F84113" w14:textId="77777777" w:rsidR="000C2974" w:rsidRPr="008D72C8" w:rsidRDefault="00525639" w:rsidP="00B90381">
            <w:pPr>
              <w:spacing w:after="0"/>
              <w:jc w:val="both"/>
              <w:rPr>
                <w:rFonts w:ascii="Times New Roman" w:hAnsi="Times New Roman"/>
              </w:rPr>
            </w:pPr>
            <w:r w:rsidRPr="008D72C8">
              <w:rPr>
                <w:rFonts w:ascii="Times New Roman" w:hAnsi="Times New Roman"/>
              </w:rPr>
              <w:t>Не более 75%</w:t>
            </w:r>
          </w:p>
          <w:p w14:paraId="68E55895" w14:textId="77777777" w:rsidR="000C2974" w:rsidRPr="008D72C8" w:rsidRDefault="000C2974" w:rsidP="00B90381">
            <w:pPr>
              <w:spacing w:after="0"/>
              <w:jc w:val="both"/>
              <w:rPr>
                <w:rFonts w:ascii="Times New Roman" w:hAnsi="Times New Roman"/>
              </w:rPr>
            </w:pPr>
            <w:r w:rsidRPr="008D72C8">
              <w:rPr>
                <w:rFonts w:ascii="Times New Roman" w:hAnsi="Times New Roman"/>
              </w:rPr>
              <w:t>Преобладание собственных средств свидетельствует о хорошем финансовом положении, а доминирование заемных средств — о вероятной неустойчивости в финансовом плане.</w:t>
            </w:r>
          </w:p>
          <w:p w14:paraId="41842E6F" w14:textId="77777777" w:rsidR="000C2974" w:rsidRPr="008D72C8" w:rsidRDefault="000C2974" w:rsidP="00B90381">
            <w:pPr>
              <w:spacing w:after="0"/>
              <w:jc w:val="both"/>
              <w:rPr>
                <w:rFonts w:ascii="Times New Roman" w:hAnsi="Times New Roman"/>
              </w:rPr>
            </w:pPr>
            <w:r w:rsidRPr="008D72C8">
              <w:rPr>
                <w:rFonts w:ascii="Times New Roman" w:hAnsi="Times New Roman"/>
              </w:rPr>
              <w:t xml:space="preserve">Значение менее </w:t>
            </w:r>
            <w:r w:rsidR="0053552D" w:rsidRPr="008D72C8">
              <w:rPr>
                <w:rFonts w:ascii="Times New Roman" w:hAnsi="Times New Roman"/>
              </w:rPr>
              <w:t>50%</w:t>
            </w:r>
            <w:r w:rsidRPr="008D72C8">
              <w:rPr>
                <w:rFonts w:ascii="Times New Roman" w:hAnsi="Times New Roman"/>
              </w:rPr>
              <w:t xml:space="preserve">, будучи показателем устойчивого финансового положения, одновременно указывает на неэффективность работы предприятия. </w:t>
            </w:r>
            <w:r w:rsidRPr="008D72C8">
              <w:rPr>
                <w:rFonts w:ascii="Times New Roman" w:hAnsi="Times New Roman"/>
                <w:shd w:val="clear" w:color="auto" w:fill="FFFFFF"/>
              </w:rPr>
              <w:t xml:space="preserve">Для правильной оценки нужно анализировать и </w:t>
            </w:r>
            <w:r w:rsidRPr="008D72C8">
              <w:rPr>
                <w:rFonts w:ascii="Times New Roman" w:hAnsi="Times New Roman"/>
                <w:shd w:val="clear" w:color="auto" w:fill="FFFFFF"/>
              </w:rPr>
              <w:lastRenderedPageBreak/>
              <w:t>другие финансово-экономические показатели.</w:t>
            </w:r>
          </w:p>
        </w:tc>
      </w:tr>
    </w:tbl>
    <w:p w14:paraId="2FBB323D" w14:textId="77777777" w:rsidR="00800515" w:rsidRPr="008D72C8" w:rsidRDefault="00800515" w:rsidP="00B90381">
      <w:pPr>
        <w:spacing w:after="0"/>
        <w:jc w:val="both"/>
        <w:rPr>
          <w:rFonts w:ascii="Times New Roman" w:hAnsi="Times New Roman"/>
          <w:b/>
          <w:bCs/>
          <w:lang w:eastAsia="en-US"/>
        </w:rPr>
      </w:pPr>
    </w:p>
    <w:p w14:paraId="3B83205B" w14:textId="397B9E5E" w:rsidR="00734488" w:rsidRPr="008D72C8" w:rsidRDefault="00E4072F" w:rsidP="00B90381">
      <w:pPr>
        <w:spacing w:after="0"/>
        <w:jc w:val="both"/>
        <w:rPr>
          <w:rFonts w:ascii="Times New Roman" w:hAnsi="Times New Roman"/>
          <w:b/>
          <w:bCs/>
          <w:lang w:eastAsia="en-US"/>
        </w:rPr>
      </w:pPr>
      <w:r w:rsidRPr="008D72C8">
        <w:rPr>
          <w:rFonts w:ascii="Times New Roman" w:hAnsi="Times New Roman"/>
          <w:b/>
          <w:bCs/>
          <w:lang w:eastAsia="en-US"/>
        </w:rPr>
        <w:t>4</w:t>
      </w:r>
      <w:r w:rsidR="004E69B9" w:rsidRPr="008D72C8">
        <w:rPr>
          <w:rFonts w:ascii="Times New Roman" w:hAnsi="Times New Roman"/>
          <w:b/>
          <w:bCs/>
          <w:lang w:eastAsia="en-US"/>
        </w:rPr>
        <w:t xml:space="preserve">.2. </w:t>
      </w:r>
      <w:r w:rsidR="009E4E22" w:rsidRPr="008D72C8">
        <w:rPr>
          <w:rFonts w:ascii="Times New Roman" w:hAnsi="Times New Roman"/>
          <w:b/>
          <w:bCs/>
          <w:lang w:eastAsia="en-US"/>
        </w:rPr>
        <w:t xml:space="preserve"> </w:t>
      </w:r>
      <w:r w:rsidR="00734488" w:rsidRPr="008D72C8">
        <w:rPr>
          <w:rFonts w:ascii="Times New Roman" w:hAnsi="Times New Roman"/>
          <w:b/>
          <w:bCs/>
          <w:lang w:eastAsia="en-US"/>
        </w:rPr>
        <w:t>Коэффициенты ликвидности</w:t>
      </w:r>
      <w:r w:rsidR="000C2485" w:rsidRPr="008D72C8">
        <w:rPr>
          <w:rFonts w:ascii="Times New Roman" w:hAnsi="Times New Roman"/>
          <w:b/>
          <w:bCs/>
          <w:lang w:eastAsia="en-US"/>
        </w:rPr>
        <w:t xml:space="preserve">, </w:t>
      </w:r>
      <w:r w:rsidR="00ED3049" w:rsidRPr="008D72C8">
        <w:rPr>
          <w:rFonts w:ascii="Times New Roman" w:hAnsi="Times New Roman"/>
          <w:b/>
          <w:bCs/>
          <w:lang w:eastAsia="en-US"/>
        </w:rPr>
        <w:t xml:space="preserve">в том числе прогнозируемые при составлении прогнозного управленческого баланса инвестиционного </w:t>
      </w:r>
      <w:r w:rsidR="003F1329" w:rsidRPr="008D72C8">
        <w:rPr>
          <w:rFonts w:ascii="Times New Roman" w:hAnsi="Times New Roman"/>
          <w:b/>
          <w:bCs/>
          <w:lang w:eastAsia="en-US"/>
        </w:rPr>
        <w:t xml:space="preserve">коммерческого </w:t>
      </w:r>
      <w:r w:rsidR="00ED3049" w:rsidRPr="008D72C8">
        <w:rPr>
          <w:rFonts w:ascii="Times New Roman" w:hAnsi="Times New Roman"/>
          <w:b/>
          <w:bCs/>
          <w:lang w:eastAsia="en-US"/>
        </w:rPr>
        <w:t>проекта</w:t>
      </w:r>
      <w:r w:rsidR="000C2485" w:rsidRPr="008D72C8">
        <w:rPr>
          <w:rFonts w:ascii="Times New Roman" w:hAnsi="Times New Roman"/>
          <w:b/>
          <w:bCs/>
          <w:lang w:eastAsia="en-US"/>
        </w:rPr>
        <w:t xml:space="preserve"> со сроком государственной регистрации менее 12 месяцев</w:t>
      </w:r>
    </w:p>
    <w:p w14:paraId="307D26DD"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i/>
          <w:iCs/>
          <w:lang w:eastAsia="en-US"/>
        </w:rPr>
        <w:t>Анализ ликвидности</w:t>
      </w:r>
    </w:p>
    <w:tbl>
      <w:tblPr>
        <w:tblW w:w="9064" w:type="dxa"/>
        <w:tblBorders>
          <w:top w:val="single" w:sz="12" w:space="0" w:color="6A6A6A"/>
          <w:left w:val="outset" w:sz="6" w:space="0" w:color="auto"/>
          <w:bottom w:val="single" w:sz="12" w:space="0" w:color="6A6A6A"/>
          <w:right w:val="outset" w:sz="6" w:space="0" w:color="auto"/>
        </w:tblBorders>
        <w:tblCellMar>
          <w:left w:w="0" w:type="dxa"/>
          <w:right w:w="0" w:type="dxa"/>
        </w:tblCellMar>
        <w:tblLook w:val="04A0" w:firstRow="1" w:lastRow="0" w:firstColumn="1" w:lastColumn="0" w:noHBand="0" w:noVBand="1"/>
      </w:tblPr>
      <w:tblGrid>
        <w:gridCol w:w="1855"/>
        <w:gridCol w:w="4090"/>
        <w:gridCol w:w="3119"/>
      </w:tblGrid>
      <w:tr w:rsidR="000F475A" w:rsidRPr="008D72C8" w14:paraId="576A270F" w14:textId="77777777" w:rsidTr="00DB0016">
        <w:tc>
          <w:tcPr>
            <w:tcW w:w="1855" w:type="dxa"/>
            <w:vMerge w:val="restart"/>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4C48C407"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w:t>
            </w:r>
          </w:p>
        </w:tc>
        <w:tc>
          <w:tcPr>
            <w:tcW w:w="7209" w:type="dxa"/>
            <w:gridSpan w:val="2"/>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hideMark/>
          </w:tcPr>
          <w:p w14:paraId="1E950EEC"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Расчет и норматив</w:t>
            </w:r>
          </w:p>
        </w:tc>
      </w:tr>
      <w:tr w:rsidR="000F475A" w:rsidRPr="008D72C8" w14:paraId="38435D0C" w14:textId="77777777" w:rsidTr="00DB0016">
        <w:tc>
          <w:tcPr>
            <w:tcW w:w="0" w:type="auto"/>
            <w:vMerge/>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1E69548D" w14:textId="77777777" w:rsidR="000C2974" w:rsidRPr="008D72C8" w:rsidRDefault="000C2974" w:rsidP="00B90381">
            <w:pPr>
              <w:spacing w:after="0"/>
              <w:jc w:val="both"/>
              <w:rPr>
                <w:rFonts w:ascii="Times New Roman" w:hAnsi="Times New Roman"/>
                <w:lang w:eastAsia="en-US"/>
              </w:rPr>
            </w:pPr>
          </w:p>
        </w:tc>
        <w:tc>
          <w:tcPr>
            <w:tcW w:w="4090"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49DD607E"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Формула</w:t>
            </w:r>
          </w:p>
        </w:tc>
        <w:tc>
          <w:tcPr>
            <w:tcW w:w="3119" w:type="dxa"/>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4CCB8F40"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Рекомендуемый диапазон</w:t>
            </w:r>
          </w:p>
        </w:tc>
      </w:tr>
      <w:tr w:rsidR="000F475A" w:rsidRPr="008D72C8" w14:paraId="3A55F12B" w14:textId="77777777" w:rsidTr="00C1068F">
        <w:trPr>
          <w:trHeight w:val="2685"/>
        </w:trPr>
        <w:tc>
          <w:tcPr>
            <w:tcW w:w="1855"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0B556430"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 текущей ликвидности</w:t>
            </w:r>
          </w:p>
        </w:tc>
        <w:tc>
          <w:tcPr>
            <w:tcW w:w="4090"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65F13C35"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Оборотные активы / краткосрочные обязательства</w:t>
            </w:r>
            <w:r w:rsidR="005A2B41" w:rsidRPr="008D72C8">
              <w:rPr>
                <w:rFonts w:ascii="Times New Roman" w:hAnsi="Times New Roman"/>
                <w:lang w:eastAsia="en-US"/>
              </w:rPr>
              <w:t xml:space="preserve"> * 100</w:t>
            </w:r>
          </w:p>
        </w:tc>
        <w:tc>
          <w:tcPr>
            <w:tcW w:w="3119"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729FB4FD" w14:textId="77777777" w:rsidR="000C2974" w:rsidRPr="008D72C8" w:rsidRDefault="00525639" w:rsidP="00B90381">
            <w:pPr>
              <w:spacing w:after="0"/>
              <w:jc w:val="both"/>
              <w:rPr>
                <w:rFonts w:ascii="Times New Roman" w:hAnsi="Times New Roman"/>
                <w:lang w:eastAsia="en-US"/>
              </w:rPr>
            </w:pPr>
            <w:r w:rsidRPr="008D72C8">
              <w:rPr>
                <w:rFonts w:ascii="Times New Roman" w:hAnsi="Times New Roman"/>
                <w:lang w:eastAsia="en-US"/>
              </w:rPr>
              <w:t xml:space="preserve">Не менее 100% </w:t>
            </w:r>
          </w:p>
          <w:p w14:paraId="73EF31C9"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Характеризует способность бизнеса погашать свои краткосрочные обязательства (налоги, з/п, прочие платежи и кре</w:t>
            </w:r>
            <w:r w:rsidR="006F34C8" w:rsidRPr="008D72C8">
              <w:rPr>
                <w:rFonts w:ascii="Times New Roman" w:hAnsi="Times New Roman"/>
                <w:lang w:eastAsia="en-US"/>
              </w:rPr>
              <w:t xml:space="preserve">дитную </w:t>
            </w:r>
            <w:r w:rsidRPr="008D72C8">
              <w:rPr>
                <w:rFonts w:ascii="Times New Roman" w:hAnsi="Times New Roman"/>
                <w:lang w:eastAsia="en-US"/>
              </w:rPr>
              <w:t xml:space="preserve">задолженность до 12 мес.) за счет оборотных активов, в норме это превышение оборотных средств над краткосрочными обязательствами. </w:t>
            </w:r>
          </w:p>
        </w:tc>
      </w:tr>
      <w:tr w:rsidR="000F475A" w:rsidRPr="008D72C8" w14:paraId="311D98F8" w14:textId="77777777" w:rsidTr="00DB0016">
        <w:tc>
          <w:tcPr>
            <w:tcW w:w="1855"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0E11CFEC"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 абсолютной (мгновенной) ликвидности</w:t>
            </w:r>
          </w:p>
        </w:tc>
        <w:tc>
          <w:tcPr>
            <w:tcW w:w="4090"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5C624748" w14:textId="77777777" w:rsidR="000C2974" w:rsidRPr="008D72C8" w:rsidRDefault="0053552D" w:rsidP="00B90381">
            <w:pPr>
              <w:spacing w:after="0"/>
              <w:jc w:val="both"/>
              <w:rPr>
                <w:rFonts w:ascii="Times New Roman" w:hAnsi="Times New Roman"/>
                <w:lang w:eastAsia="en-US"/>
              </w:rPr>
            </w:pPr>
            <w:r w:rsidRPr="008D72C8">
              <w:rPr>
                <w:rFonts w:ascii="Times New Roman" w:hAnsi="Times New Roman"/>
                <w:lang w:eastAsia="en-US"/>
              </w:rPr>
              <w:t>(</w:t>
            </w:r>
            <w:r w:rsidR="000C2974" w:rsidRPr="008D72C8">
              <w:rPr>
                <w:rFonts w:ascii="Times New Roman" w:hAnsi="Times New Roman"/>
                <w:lang w:eastAsia="en-US"/>
              </w:rPr>
              <w:t>Ден.</w:t>
            </w:r>
            <w:r w:rsidR="004B0687" w:rsidRPr="008D72C8">
              <w:rPr>
                <w:rFonts w:ascii="Times New Roman" w:hAnsi="Times New Roman"/>
                <w:lang w:eastAsia="en-US"/>
              </w:rPr>
              <w:t xml:space="preserve"> </w:t>
            </w:r>
            <w:r w:rsidR="000C2974" w:rsidRPr="008D72C8">
              <w:rPr>
                <w:rFonts w:ascii="Times New Roman" w:hAnsi="Times New Roman"/>
                <w:lang w:eastAsia="en-US"/>
              </w:rPr>
              <w:t>средства и их эквиваленты</w:t>
            </w:r>
            <w:r w:rsidR="004B0687" w:rsidRPr="008D72C8">
              <w:rPr>
                <w:rFonts w:ascii="Times New Roman" w:hAnsi="Times New Roman"/>
                <w:lang w:eastAsia="en-US"/>
              </w:rPr>
              <w:t xml:space="preserve"> </w:t>
            </w:r>
            <w:r w:rsidR="000C2974" w:rsidRPr="008D72C8">
              <w:rPr>
                <w:rFonts w:ascii="Times New Roman" w:hAnsi="Times New Roman"/>
                <w:lang w:eastAsia="en-US"/>
              </w:rPr>
              <w:t>+</w:t>
            </w:r>
            <w:r w:rsidR="004B0687" w:rsidRPr="008D72C8">
              <w:rPr>
                <w:rFonts w:ascii="Times New Roman" w:hAnsi="Times New Roman"/>
                <w:lang w:eastAsia="en-US"/>
              </w:rPr>
              <w:t xml:space="preserve"> </w:t>
            </w:r>
            <w:r w:rsidR="000C2974" w:rsidRPr="008D72C8">
              <w:rPr>
                <w:rFonts w:ascii="Times New Roman" w:hAnsi="Times New Roman"/>
                <w:lang w:eastAsia="en-US"/>
              </w:rPr>
              <w:t>краткосроч</w:t>
            </w:r>
            <w:r w:rsidRPr="008D72C8">
              <w:rPr>
                <w:rFonts w:ascii="Times New Roman" w:hAnsi="Times New Roman"/>
                <w:lang w:eastAsia="en-US"/>
              </w:rPr>
              <w:t xml:space="preserve">ные </w:t>
            </w:r>
            <w:proofErr w:type="spellStart"/>
            <w:proofErr w:type="gramStart"/>
            <w:r w:rsidR="000C2974" w:rsidRPr="008D72C8">
              <w:rPr>
                <w:rFonts w:ascii="Times New Roman" w:hAnsi="Times New Roman"/>
                <w:lang w:eastAsia="en-US"/>
              </w:rPr>
              <w:t>фин.вложения</w:t>
            </w:r>
            <w:proofErr w:type="spellEnd"/>
            <w:proofErr w:type="gramEnd"/>
            <w:r w:rsidR="000C2974" w:rsidRPr="008D72C8">
              <w:rPr>
                <w:rFonts w:ascii="Times New Roman" w:hAnsi="Times New Roman"/>
                <w:lang w:eastAsia="en-US"/>
              </w:rPr>
              <w:t xml:space="preserve"> за исключением </w:t>
            </w:r>
            <w:proofErr w:type="spellStart"/>
            <w:r w:rsidR="000C2974" w:rsidRPr="008D72C8">
              <w:rPr>
                <w:rFonts w:ascii="Times New Roman" w:hAnsi="Times New Roman"/>
                <w:lang w:eastAsia="en-US"/>
              </w:rPr>
              <w:t>ден.</w:t>
            </w:r>
            <w:r w:rsidRPr="008D72C8">
              <w:rPr>
                <w:rFonts w:ascii="Times New Roman" w:hAnsi="Times New Roman"/>
                <w:lang w:eastAsia="en-US"/>
              </w:rPr>
              <w:t>э</w:t>
            </w:r>
            <w:r w:rsidR="000C2974" w:rsidRPr="008D72C8">
              <w:rPr>
                <w:rFonts w:ascii="Times New Roman" w:hAnsi="Times New Roman"/>
                <w:lang w:eastAsia="en-US"/>
              </w:rPr>
              <w:t>квивалентов</w:t>
            </w:r>
            <w:proofErr w:type="spellEnd"/>
            <w:r w:rsidRPr="008D72C8">
              <w:rPr>
                <w:rFonts w:ascii="Times New Roman" w:hAnsi="Times New Roman"/>
                <w:lang w:eastAsia="en-US"/>
              </w:rPr>
              <w:t xml:space="preserve">) </w:t>
            </w:r>
            <w:r w:rsidR="000C2974" w:rsidRPr="008D72C8">
              <w:rPr>
                <w:rFonts w:ascii="Times New Roman" w:hAnsi="Times New Roman"/>
                <w:lang w:eastAsia="en-US"/>
              </w:rPr>
              <w:t>/ краткосрочные обязательства</w:t>
            </w:r>
            <w:r w:rsidRPr="008D72C8">
              <w:rPr>
                <w:rFonts w:ascii="Times New Roman" w:hAnsi="Times New Roman"/>
                <w:lang w:eastAsia="en-US"/>
              </w:rPr>
              <w:t xml:space="preserve"> * 100</w:t>
            </w:r>
          </w:p>
        </w:tc>
        <w:tc>
          <w:tcPr>
            <w:tcW w:w="3119"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tcPr>
          <w:p w14:paraId="415577FD" w14:textId="77777777" w:rsidR="000C2974" w:rsidRPr="008D72C8" w:rsidRDefault="00525639" w:rsidP="00B90381">
            <w:pPr>
              <w:spacing w:after="0"/>
              <w:jc w:val="both"/>
              <w:rPr>
                <w:rFonts w:ascii="Times New Roman" w:hAnsi="Times New Roman"/>
                <w:lang w:eastAsia="en-US"/>
              </w:rPr>
            </w:pPr>
            <w:r w:rsidRPr="008D72C8">
              <w:rPr>
                <w:rFonts w:ascii="Times New Roman" w:hAnsi="Times New Roman"/>
                <w:lang w:eastAsia="en-US"/>
              </w:rPr>
              <w:t>Не менее 20%</w:t>
            </w:r>
          </w:p>
          <w:p w14:paraId="06E8EECB"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 xml:space="preserve">Чаще всего, нормальным значением коэффициента абсолютной ликвидности предприятия считается </w:t>
            </w:r>
            <w:r w:rsidR="00703C2E" w:rsidRPr="008D72C8">
              <w:rPr>
                <w:rFonts w:ascii="Times New Roman" w:hAnsi="Times New Roman"/>
                <w:lang w:eastAsia="en-US"/>
              </w:rPr>
              <w:t>20</w:t>
            </w:r>
            <w:proofErr w:type="gramStart"/>
            <w:r w:rsidR="00703C2E" w:rsidRPr="008D72C8">
              <w:rPr>
                <w:rFonts w:ascii="Times New Roman" w:hAnsi="Times New Roman"/>
                <w:lang w:eastAsia="en-US"/>
              </w:rPr>
              <w:t xml:space="preserve">% </w:t>
            </w:r>
            <w:r w:rsidRPr="008D72C8">
              <w:rPr>
                <w:rFonts w:ascii="Times New Roman" w:hAnsi="Times New Roman"/>
                <w:lang w:eastAsia="en-US"/>
              </w:rPr>
              <w:t xml:space="preserve"> –</w:t>
            </w:r>
            <w:proofErr w:type="gramEnd"/>
            <w:r w:rsidRPr="008D72C8">
              <w:rPr>
                <w:rFonts w:ascii="Times New Roman" w:hAnsi="Times New Roman"/>
                <w:lang w:eastAsia="en-US"/>
              </w:rPr>
              <w:t xml:space="preserve"> это означает, что </w:t>
            </w:r>
            <w:r w:rsidR="00DC2821" w:rsidRPr="008D72C8">
              <w:rPr>
                <w:rFonts w:ascii="Times New Roman" w:hAnsi="Times New Roman"/>
                <w:lang w:eastAsia="en-US"/>
              </w:rPr>
              <w:t>компания</w:t>
            </w:r>
            <w:r w:rsidRPr="008D72C8">
              <w:rPr>
                <w:rFonts w:ascii="Times New Roman" w:hAnsi="Times New Roman"/>
                <w:lang w:eastAsia="en-US"/>
              </w:rPr>
              <w:t xml:space="preserve"> способна полностью покрыть 20% обязательств со сроком до 12 месяцев за счёт денежных средств и их эквивалентов. </w:t>
            </w:r>
          </w:p>
        </w:tc>
      </w:tr>
    </w:tbl>
    <w:p w14:paraId="578236E9" w14:textId="77777777" w:rsidR="00800515" w:rsidRPr="008D72C8" w:rsidRDefault="00800515" w:rsidP="00B90381">
      <w:pPr>
        <w:spacing w:after="0"/>
        <w:jc w:val="both"/>
        <w:rPr>
          <w:rFonts w:ascii="Times New Roman" w:hAnsi="Times New Roman"/>
          <w:b/>
          <w:bCs/>
          <w:lang w:eastAsia="en-US"/>
        </w:rPr>
      </w:pPr>
    </w:p>
    <w:p w14:paraId="39817A29" w14:textId="7E5CB2E7" w:rsidR="00734488" w:rsidRPr="008D72C8" w:rsidRDefault="00E4072F" w:rsidP="00B90381">
      <w:pPr>
        <w:spacing w:after="0"/>
        <w:jc w:val="both"/>
        <w:rPr>
          <w:rFonts w:ascii="Times New Roman" w:hAnsi="Times New Roman"/>
          <w:b/>
          <w:bCs/>
          <w:lang w:eastAsia="en-US"/>
        </w:rPr>
      </w:pPr>
      <w:r w:rsidRPr="008D72C8">
        <w:rPr>
          <w:rFonts w:ascii="Times New Roman" w:hAnsi="Times New Roman"/>
          <w:b/>
          <w:bCs/>
          <w:lang w:eastAsia="en-US"/>
        </w:rPr>
        <w:t>4</w:t>
      </w:r>
      <w:r w:rsidR="004E69B9" w:rsidRPr="008D72C8">
        <w:rPr>
          <w:rFonts w:ascii="Times New Roman" w:hAnsi="Times New Roman"/>
          <w:b/>
          <w:bCs/>
          <w:lang w:eastAsia="en-US"/>
        </w:rPr>
        <w:t xml:space="preserve">.3. </w:t>
      </w:r>
      <w:r w:rsidR="009E4E22" w:rsidRPr="008D72C8">
        <w:rPr>
          <w:rFonts w:ascii="Times New Roman" w:hAnsi="Times New Roman"/>
          <w:b/>
          <w:bCs/>
          <w:lang w:eastAsia="en-US"/>
        </w:rPr>
        <w:t xml:space="preserve"> </w:t>
      </w:r>
      <w:r w:rsidR="00734488" w:rsidRPr="008D72C8">
        <w:rPr>
          <w:rFonts w:ascii="Times New Roman" w:hAnsi="Times New Roman"/>
          <w:b/>
          <w:bCs/>
          <w:lang w:eastAsia="en-US"/>
        </w:rPr>
        <w:t xml:space="preserve">Коэффициенты </w:t>
      </w:r>
      <w:r w:rsidR="00577C78" w:rsidRPr="008D72C8">
        <w:rPr>
          <w:rFonts w:ascii="Times New Roman" w:hAnsi="Times New Roman"/>
          <w:b/>
          <w:bCs/>
          <w:lang w:eastAsia="en-US"/>
        </w:rPr>
        <w:t>рентабельности,</w:t>
      </w:r>
      <w:r w:rsidR="001C1A11" w:rsidRPr="008D72C8">
        <w:rPr>
          <w:rFonts w:ascii="Times New Roman" w:hAnsi="Times New Roman"/>
          <w:b/>
          <w:bCs/>
          <w:lang w:eastAsia="en-US"/>
        </w:rPr>
        <w:t xml:space="preserve"> </w:t>
      </w:r>
      <w:r w:rsidR="00ED3049" w:rsidRPr="008D72C8">
        <w:rPr>
          <w:rFonts w:ascii="Times New Roman" w:hAnsi="Times New Roman"/>
          <w:b/>
          <w:bCs/>
          <w:lang w:eastAsia="en-US"/>
        </w:rPr>
        <w:t xml:space="preserve">в том числе прогнозируемые при составлении прогнозного управленческого баланса инвестиционного </w:t>
      </w:r>
      <w:r w:rsidR="003F1329" w:rsidRPr="008D72C8">
        <w:rPr>
          <w:rFonts w:ascii="Times New Roman" w:hAnsi="Times New Roman"/>
          <w:b/>
          <w:bCs/>
          <w:lang w:eastAsia="en-US"/>
        </w:rPr>
        <w:t xml:space="preserve">коммерческого </w:t>
      </w:r>
      <w:r w:rsidR="00ED3049" w:rsidRPr="008D72C8">
        <w:rPr>
          <w:rFonts w:ascii="Times New Roman" w:hAnsi="Times New Roman"/>
          <w:b/>
          <w:bCs/>
          <w:lang w:eastAsia="en-US"/>
        </w:rPr>
        <w:t>проекта</w:t>
      </w:r>
      <w:r w:rsidR="001C1A11" w:rsidRPr="008D72C8">
        <w:rPr>
          <w:rFonts w:ascii="Times New Roman" w:hAnsi="Times New Roman"/>
          <w:b/>
          <w:bCs/>
          <w:lang w:eastAsia="en-US"/>
        </w:rPr>
        <w:t xml:space="preserve"> со сроком государственной компании менее 12 месяцев</w:t>
      </w:r>
    </w:p>
    <w:p w14:paraId="373857DA" w14:textId="77777777" w:rsidR="000C2974" w:rsidRPr="008D72C8" w:rsidRDefault="000C2974" w:rsidP="00B90381">
      <w:pPr>
        <w:spacing w:after="0"/>
        <w:jc w:val="both"/>
        <w:rPr>
          <w:rFonts w:ascii="Times New Roman" w:hAnsi="Times New Roman"/>
          <w:i/>
          <w:iCs/>
          <w:lang w:eastAsia="en-US"/>
        </w:rPr>
      </w:pPr>
      <w:r w:rsidRPr="008D72C8">
        <w:rPr>
          <w:rFonts w:ascii="Times New Roman" w:hAnsi="Times New Roman"/>
          <w:i/>
          <w:iCs/>
          <w:lang w:eastAsia="en-US"/>
        </w:rPr>
        <w:t>Анализ рентабельности</w:t>
      </w:r>
    </w:p>
    <w:tbl>
      <w:tblPr>
        <w:tblW w:w="9064" w:type="dxa"/>
        <w:tblBorders>
          <w:top w:val="single" w:sz="12" w:space="0" w:color="6A6A6A"/>
          <w:left w:val="outset" w:sz="6" w:space="0" w:color="auto"/>
          <w:bottom w:val="single" w:sz="12" w:space="0" w:color="6A6A6A"/>
          <w:right w:val="outset" w:sz="6" w:space="0" w:color="auto"/>
        </w:tblBorders>
        <w:tblCellMar>
          <w:left w:w="0" w:type="dxa"/>
          <w:right w:w="0" w:type="dxa"/>
        </w:tblCellMar>
        <w:tblLook w:val="04A0" w:firstRow="1" w:lastRow="0" w:firstColumn="1" w:lastColumn="0" w:noHBand="0" w:noVBand="1"/>
      </w:tblPr>
      <w:tblGrid>
        <w:gridCol w:w="2415"/>
        <w:gridCol w:w="2458"/>
        <w:gridCol w:w="4191"/>
      </w:tblGrid>
      <w:tr w:rsidR="000F475A" w:rsidRPr="008D72C8" w14:paraId="7D9F7288" w14:textId="77777777" w:rsidTr="00DB0016">
        <w:tc>
          <w:tcPr>
            <w:tcW w:w="2415" w:type="dxa"/>
            <w:vMerge w:val="restart"/>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078F21B0"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w:t>
            </w:r>
          </w:p>
        </w:tc>
        <w:tc>
          <w:tcPr>
            <w:tcW w:w="6649" w:type="dxa"/>
            <w:gridSpan w:val="2"/>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hideMark/>
          </w:tcPr>
          <w:p w14:paraId="190C0819"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Расчет и норматив</w:t>
            </w:r>
          </w:p>
        </w:tc>
      </w:tr>
      <w:tr w:rsidR="000F475A" w:rsidRPr="008D72C8" w14:paraId="73D6D04D" w14:textId="77777777" w:rsidTr="00DB0016">
        <w:tc>
          <w:tcPr>
            <w:tcW w:w="0" w:type="auto"/>
            <w:vMerge/>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68F9C83C" w14:textId="77777777" w:rsidR="000C2974" w:rsidRPr="008D72C8" w:rsidRDefault="000C2974" w:rsidP="00B90381">
            <w:pPr>
              <w:spacing w:after="0"/>
              <w:jc w:val="both"/>
              <w:rPr>
                <w:rFonts w:ascii="Times New Roman" w:hAnsi="Times New Roman"/>
                <w:lang w:eastAsia="en-US"/>
              </w:rPr>
            </w:pPr>
          </w:p>
        </w:tc>
        <w:tc>
          <w:tcPr>
            <w:tcW w:w="2458"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1839750"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Формула</w:t>
            </w:r>
          </w:p>
        </w:tc>
        <w:tc>
          <w:tcPr>
            <w:tcW w:w="4191" w:type="dxa"/>
            <w:tcBorders>
              <w:top w:val="single" w:sz="6" w:space="0" w:color="6A6A6A"/>
              <w:left w:val="single" w:sz="6" w:space="0" w:color="6A6A6A"/>
              <w:bottom w:val="single" w:sz="6" w:space="0" w:color="6A6A6A"/>
              <w:right w:val="single" w:sz="6" w:space="0" w:color="6A6A6A"/>
            </w:tcBorders>
            <w:shd w:val="clear" w:color="auto" w:fill="FFFFFF"/>
            <w:vAlign w:val="center"/>
            <w:hideMark/>
          </w:tcPr>
          <w:p w14:paraId="4050B905"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Рекомендуемый диапазон</w:t>
            </w:r>
          </w:p>
        </w:tc>
      </w:tr>
      <w:tr w:rsidR="000F475A" w:rsidRPr="008D72C8" w14:paraId="54C63A0D" w14:textId="77777777" w:rsidTr="00DB0016">
        <w:tc>
          <w:tcPr>
            <w:tcW w:w="2415"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30211DC"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 чистой рентабельности продаж</w:t>
            </w:r>
            <w:r w:rsidR="00CB3882" w:rsidRPr="008D72C8">
              <w:rPr>
                <w:rFonts w:ascii="Times New Roman" w:hAnsi="Times New Roman"/>
                <w:lang w:eastAsia="en-US"/>
              </w:rPr>
              <w:t xml:space="preserve"> (или норма прибыли</w:t>
            </w:r>
            <w:proofErr w:type="gramStart"/>
            <w:r w:rsidR="00CB3882" w:rsidRPr="008D72C8">
              <w:rPr>
                <w:rFonts w:ascii="Times New Roman" w:hAnsi="Times New Roman"/>
                <w:lang w:eastAsia="en-US"/>
              </w:rPr>
              <w:t xml:space="preserve">) </w:t>
            </w:r>
            <w:r w:rsidRPr="008D72C8">
              <w:rPr>
                <w:rFonts w:ascii="Times New Roman" w:hAnsi="Times New Roman"/>
                <w:lang w:eastAsia="en-US"/>
              </w:rPr>
              <w:t>,</w:t>
            </w:r>
            <w:proofErr w:type="gramEnd"/>
            <w:r w:rsidRPr="008D72C8">
              <w:rPr>
                <w:rFonts w:ascii="Times New Roman" w:hAnsi="Times New Roman"/>
                <w:lang w:eastAsia="en-US"/>
              </w:rPr>
              <w:t xml:space="preserve"> %</w:t>
            </w:r>
          </w:p>
        </w:tc>
        <w:tc>
          <w:tcPr>
            <w:tcW w:w="2458"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173F060"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 xml:space="preserve">(Чистая прибыль/ валовая выручка) *100 </w:t>
            </w:r>
          </w:p>
        </w:tc>
        <w:tc>
          <w:tcPr>
            <w:tcW w:w="4191"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67D96957" w14:textId="77777777" w:rsidR="00CB3882" w:rsidRPr="008D72C8" w:rsidRDefault="00CB3882" w:rsidP="00CB3882">
            <w:pPr>
              <w:jc w:val="both"/>
              <w:rPr>
                <w:rFonts w:ascii="Times New Roman" w:hAnsi="Times New Roman"/>
                <w:lang w:eastAsia="en-US"/>
              </w:rPr>
            </w:pPr>
            <w:r w:rsidRPr="008D72C8">
              <w:rPr>
                <w:rFonts w:ascii="Times New Roman" w:hAnsi="Times New Roman"/>
                <w:lang w:eastAsia="en-US"/>
              </w:rPr>
              <w:t>Чем показатель выше, тем лучше, будем отталкиваться от условно минимального значения 5%.</w:t>
            </w:r>
          </w:p>
          <w:p w14:paraId="1AAB1FF9" w14:textId="77777777" w:rsidR="00FD1041" w:rsidRPr="008D72C8" w:rsidRDefault="00FD1041" w:rsidP="00B90381">
            <w:pPr>
              <w:spacing w:after="0"/>
              <w:jc w:val="both"/>
              <w:rPr>
                <w:rFonts w:ascii="Times New Roman" w:hAnsi="Times New Roman"/>
                <w:lang w:eastAsia="en-US"/>
              </w:rPr>
            </w:pPr>
            <w:r w:rsidRPr="008D72C8">
              <w:rPr>
                <w:rFonts w:ascii="Times New Roman" w:hAnsi="Times New Roman"/>
                <w:lang w:eastAsia="en-US"/>
              </w:rPr>
              <w:lastRenderedPageBreak/>
              <w:t>Целесообразно сравнивать с аналогичным показателем по отрасли.</w:t>
            </w:r>
          </w:p>
          <w:p w14:paraId="31F6667B"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Это индикатор контроля расходов, т.е. сколько с 1 руб. валовой выручки бизнес получает чистой прибыли.</w:t>
            </w:r>
          </w:p>
        </w:tc>
      </w:tr>
      <w:tr w:rsidR="000F475A" w:rsidRPr="008D72C8" w14:paraId="224F20CA" w14:textId="77777777" w:rsidTr="00DB0016">
        <w:tc>
          <w:tcPr>
            <w:tcW w:w="2415"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3ADD57F"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lastRenderedPageBreak/>
              <w:t>Коэффициент рентабельности активов, %</w:t>
            </w:r>
          </w:p>
        </w:tc>
        <w:tc>
          <w:tcPr>
            <w:tcW w:w="2458"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4EE43BA2"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(Чистая прибыль / Валюта баланса) *100</w:t>
            </w:r>
          </w:p>
        </w:tc>
        <w:tc>
          <w:tcPr>
            <w:tcW w:w="4191"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24D08F2B" w14:textId="77777777" w:rsidR="00FD1041" w:rsidRPr="008D72C8" w:rsidRDefault="00FD1041" w:rsidP="00B90381">
            <w:pPr>
              <w:spacing w:after="0"/>
              <w:jc w:val="both"/>
              <w:rPr>
                <w:rFonts w:ascii="Times New Roman" w:hAnsi="Times New Roman"/>
                <w:lang w:eastAsia="en-US"/>
              </w:rPr>
            </w:pPr>
            <w:r w:rsidRPr="008D72C8">
              <w:rPr>
                <w:rFonts w:ascii="Times New Roman" w:hAnsi="Times New Roman"/>
                <w:lang w:eastAsia="en-US"/>
              </w:rPr>
              <w:t>Норматив отсутствует.</w:t>
            </w:r>
          </w:p>
          <w:p w14:paraId="70112BE0" w14:textId="77777777" w:rsidR="00FD1041" w:rsidRPr="008D72C8" w:rsidRDefault="00FD1041" w:rsidP="00B90381">
            <w:pPr>
              <w:spacing w:after="0"/>
              <w:jc w:val="both"/>
              <w:rPr>
                <w:rFonts w:ascii="Times New Roman" w:hAnsi="Times New Roman"/>
                <w:lang w:eastAsia="en-US"/>
              </w:rPr>
            </w:pPr>
            <w:r w:rsidRPr="008D72C8">
              <w:rPr>
                <w:rFonts w:ascii="Times New Roman" w:hAnsi="Times New Roman"/>
                <w:lang w:eastAsia="en-US"/>
              </w:rPr>
              <w:t>Целесообразно сравнивать с аналогичным показателем по отрасли.</w:t>
            </w:r>
          </w:p>
          <w:p w14:paraId="5DCD269C"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 xml:space="preserve">Это индикатор объема прибыли, которые генерируют все активы. </w:t>
            </w:r>
          </w:p>
        </w:tc>
      </w:tr>
      <w:tr w:rsidR="000F475A" w:rsidRPr="008D72C8" w14:paraId="52C77F3B" w14:textId="77777777" w:rsidTr="00DB0016">
        <w:tc>
          <w:tcPr>
            <w:tcW w:w="2415"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50A9B15C"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Коэффициент рентабельности собственного капитала, %</w:t>
            </w:r>
          </w:p>
        </w:tc>
        <w:tc>
          <w:tcPr>
            <w:tcW w:w="2458"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905F74F"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(Чистая прибыль/Собственный капитал) *100</w:t>
            </w:r>
          </w:p>
        </w:tc>
        <w:tc>
          <w:tcPr>
            <w:tcW w:w="4191" w:type="dxa"/>
            <w:tcBorders>
              <w:top w:val="single" w:sz="6" w:space="0" w:color="6A6A6A"/>
              <w:left w:val="single" w:sz="6" w:space="0" w:color="6A6A6A"/>
              <w:bottom w:val="single" w:sz="6" w:space="0" w:color="6A6A6A"/>
              <w:right w:val="single" w:sz="6" w:space="0" w:color="6A6A6A"/>
            </w:tcBorders>
            <w:shd w:val="clear" w:color="auto" w:fill="FFFFFF"/>
            <w:tcMar>
              <w:top w:w="75" w:type="dxa"/>
              <w:left w:w="150" w:type="dxa"/>
              <w:bottom w:w="75" w:type="dxa"/>
              <w:right w:w="150" w:type="dxa"/>
            </w:tcMar>
            <w:vAlign w:val="center"/>
            <w:hideMark/>
          </w:tcPr>
          <w:p w14:paraId="14ED3FDC" w14:textId="77777777" w:rsidR="00FD1041" w:rsidRPr="008D72C8" w:rsidRDefault="00FD1041" w:rsidP="00B90381">
            <w:pPr>
              <w:spacing w:after="0"/>
              <w:jc w:val="both"/>
              <w:rPr>
                <w:rFonts w:ascii="Times New Roman" w:hAnsi="Times New Roman"/>
                <w:lang w:eastAsia="en-US"/>
              </w:rPr>
            </w:pPr>
            <w:r w:rsidRPr="008D72C8">
              <w:rPr>
                <w:rFonts w:ascii="Times New Roman" w:hAnsi="Times New Roman"/>
                <w:lang w:eastAsia="en-US"/>
              </w:rPr>
              <w:t>Норматив отсутствует.</w:t>
            </w:r>
          </w:p>
          <w:p w14:paraId="6CB78A33" w14:textId="77777777" w:rsidR="00FD1041" w:rsidRPr="008D72C8" w:rsidRDefault="00FD1041" w:rsidP="00B90381">
            <w:pPr>
              <w:spacing w:after="0"/>
              <w:jc w:val="both"/>
              <w:rPr>
                <w:rFonts w:ascii="Times New Roman" w:hAnsi="Times New Roman"/>
                <w:lang w:eastAsia="en-US"/>
              </w:rPr>
            </w:pPr>
            <w:r w:rsidRPr="008D72C8">
              <w:rPr>
                <w:rFonts w:ascii="Times New Roman" w:hAnsi="Times New Roman"/>
                <w:lang w:eastAsia="en-US"/>
              </w:rPr>
              <w:t>Целесообразно сравнивать с аналогичным показателем по отрасли.</w:t>
            </w:r>
          </w:p>
          <w:p w14:paraId="583DB7F8" w14:textId="77777777" w:rsidR="000C2974" w:rsidRPr="008D72C8" w:rsidRDefault="000C2974" w:rsidP="00B90381">
            <w:pPr>
              <w:spacing w:after="0"/>
              <w:jc w:val="both"/>
              <w:rPr>
                <w:rFonts w:ascii="Times New Roman" w:hAnsi="Times New Roman"/>
                <w:lang w:eastAsia="en-US"/>
              </w:rPr>
            </w:pPr>
            <w:r w:rsidRPr="008D72C8">
              <w:rPr>
                <w:rFonts w:ascii="Times New Roman" w:hAnsi="Times New Roman"/>
                <w:lang w:eastAsia="en-US"/>
              </w:rPr>
              <w:t xml:space="preserve">Это индикатор объема чистой прибыли, которую генерируют собственные средства. </w:t>
            </w:r>
          </w:p>
        </w:tc>
      </w:tr>
    </w:tbl>
    <w:p w14:paraId="4A68E7FA" w14:textId="77777777" w:rsidR="004E69B9" w:rsidRPr="008D72C8" w:rsidRDefault="00E4072F" w:rsidP="009E4E22">
      <w:pPr>
        <w:jc w:val="both"/>
        <w:rPr>
          <w:rFonts w:ascii="Times New Roman" w:hAnsi="Times New Roman"/>
          <w:lang w:eastAsia="en-US"/>
        </w:rPr>
      </w:pPr>
      <w:r w:rsidRPr="008D72C8">
        <w:rPr>
          <w:rFonts w:ascii="Times New Roman" w:hAnsi="Times New Roman"/>
          <w:b/>
          <w:bCs/>
          <w:lang w:eastAsia="en-US"/>
        </w:rPr>
        <w:t>4</w:t>
      </w:r>
      <w:r w:rsidR="004E69B9" w:rsidRPr="008D72C8">
        <w:rPr>
          <w:rFonts w:ascii="Times New Roman" w:hAnsi="Times New Roman"/>
          <w:b/>
          <w:bCs/>
          <w:lang w:eastAsia="en-US"/>
        </w:rPr>
        <w:t>.</w:t>
      </w:r>
      <w:r w:rsidR="003F4B93" w:rsidRPr="008D72C8">
        <w:rPr>
          <w:rFonts w:ascii="Times New Roman" w:hAnsi="Times New Roman"/>
          <w:b/>
          <w:bCs/>
          <w:lang w:eastAsia="en-US"/>
        </w:rPr>
        <w:t>4</w:t>
      </w:r>
      <w:r w:rsidR="004E69B9" w:rsidRPr="008D72C8">
        <w:rPr>
          <w:rFonts w:ascii="Times New Roman" w:hAnsi="Times New Roman"/>
          <w:b/>
          <w:bCs/>
          <w:lang w:eastAsia="en-US"/>
        </w:rPr>
        <w:t>. Период погашения кредиторской задолженности</w:t>
      </w:r>
    </w:p>
    <w:p w14:paraId="35985117" w14:textId="77777777" w:rsidR="009E4E22" w:rsidRPr="008D72C8" w:rsidRDefault="00D81327" w:rsidP="009E4E22">
      <w:pPr>
        <w:jc w:val="both"/>
        <w:rPr>
          <w:rFonts w:ascii="Times New Roman" w:hAnsi="Times New Roman"/>
          <w:lang w:eastAsia="en-US"/>
        </w:rPr>
      </w:pPr>
      <w:r w:rsidRPr="008D72C8">
        <w:rPr>
          <w:rFonts w:ascii="Times New Roman" w:hAnsi="Times New Roman"/>
          <w:lang w:eastAsia="en-US"/>
        </w:rPr>
        <w:t>Период погашения кредиторской задолженности</w:t>
      </w:r>
      <w:r w:rsidR="003C2F22" w:rsidRPr="008D72C8">
        <w:rPr>
          <w:rFonts w:ascii="Times New Roman" w:hAnsi="Times New Roman"/>
          <w:lang w:eastAsia="en-US"/>
        </w:rPr>
        <w:t xml:space="preserve"> </w:t>
      </w:r>
      <w:r w:rsidR="00817E73" w:rsidRPr="008D72C8">
        <w:rPr>
          <w:rFonts w:ascii="Times New Roman" w:hAnsi="Times New Roman"/>
          <w:lang w:eastAsia="en-US"/>
        </w:rPr>
        <w:t>— это</w:t>
      </w:r>
      <w:r w:rsidR="003C2F22" w:rsidRPr="008D72C8">
        <w:rPr>
          <w:rFonts w:ascii="Times New Roman" w:hAnsi="Times New Roman"/>
          <w:lang w:eastAsia="en-US"/>
        </w:rPr>
        <w:t xml:space="preserve"> отрезок времени, в течение которого предприятие пользуется заемными средствами. Данный показатель является индикатором деловой активности, который применяется экспертами при проведении анализа эффективности управления кредиторской задолженностью хозяйствующего субъекта. Измеряется упомянутый показатель в днях.</w:t>
      </w:r>
      <w:r w:rsidR="003C2F22" w:rsidRPr="008D72C8">
        <w:rPr>
          <w:rFonts w:ascii="Times New Roman" w:hAnsi="Times New Roman"/>
          <w:lang w:eastAsia="en-US"/>
        </w:rPr>
        <w:br/>
        <w:t>Период погашения кредиторской задолженности</w:t>
      </w:r>
      <w:r w:rsidR="004A3FDD" w:rsidRPr="008D72C8">
        <w:rPr>
          <w:rFonts w:ascii="Times New Roman" w:hAnsi="Times New Roman"/>
          <w:lang w:eastAsia="en-US"/>
        </w:rPr>
        <w:t>, в днях</w:t>
      </w:r>
      <w:r w:rsidR="003C2F22" w:rsidRPr="008D72C8">
        <w:rPr>
          <w:rFonts w:ascii="Times New Roman" w:hAnsi="Times New Roman"/>
          <w:lang w:eastAsia="en-US"/>
        </w:rPr>
        <w:t xml:space="preserve"> = Отчетный период</w:t>
      </w:r>
      <w:r w:rsidR="004A3FDD" w:rsidRPr="008D72C8">
        <w:rPr>
          <w:rFonts w:ascii="Times New Roman" w:hAnsi="Times New Roman"/>
          <w:lang w:eastAsia="en-US"/>
        </w:rPr>
        <w:t xml:space="preserve"> (365 дней)</w:t>
      </w:r>
      <w:r w:rsidR="003C2F22" w:rsidRPr="008D72C8">
        <w:rPr>
          <w:rFonts w:ascii="Times New Roman" w:hAnsi="Times New Roman"/>
          <w:lang w:eastAsia="en-US"/>
        </w:rPr>
        <w:t xml:space="preserve"> / Оборачиваемость кредиторской задолженности</w:t>
      </w:r>
    </w:p>
    <w:p w14:paraId="2F6BAF15" w14:textId="77777777" w:rsidR="003C2F22" w:rsidRPr="008D72C8" w:rsidRDefault="00E4072F" w:rsidP="009E4E22">
      <w:pPr>
        <w:jc w:val="both"/>
        <w:rPr>
          <w:rFonts w:ascii="Times New Roman" w:hAnsi="Times New Roman"/>
          <w:b/>
          <w:bCs/>
          <w:lang w:eastAsia="en-US"/>
        </w:rPr>
      </w:pPr>
      <w:r w:rsidRPr="008D72C8">
        <w:rPr>
          <w:rFonts w:ascii="Times New Roman" w:hAnsi="Times New Roman"/>
          <w:b/>
          <w:bCs/>
          <w:lang w:eastAsia="en-US"/>
        </w:rPr>
        <w:t>4</w:t>
      </w:r>
      <w:r w:rsidR="004E69B9" w:rsidRPr="008D72C8">
        <w:rPr>
          <w:rFonts w:ascii="Times New Roman" w:hAnsi="Times New Roman"/>
          <w:b/>
          <w:bCs/>
          <w:lang w:eastAsia="en-US"/>
        </w:rPr>
        <w:t>.</w:t>
      </w:r>
      <w:r w:rsidR="003F4B93" w:rsidRPr="008D72C8">
        <w:rPr>
          <w:rFonts w:ascii="Times New Roman" w:hAnsi="Times New Roman"/>
          <w:b/>
          <w:bCs/>
          <w:lang w:eastAsia="en-US"/>
        </w:rPr>
        <w:t>5</w:t>
      </w:r>
      <w:r w:rsidR="004E69B9" w:rsidRPr="008D72C8">
        <w:rPr>
          <w:rFonts w:ascii="Times New Roman" w:hAnsi="Times New Roman"/>
          <w:b/>
          <w:bCs/>
          <w:lang w:eastAsia="en-US"/>
        </w:rPr>
        <w:t>. Период оборота запасов</w:t>
      </w:r>
    </w:p>
    <w:p w14:paraId="5128764B" w14:textId="77777777" w:rsidR="003C2F22" w:rsidRPr="008D72C8" w:rsidRDefault="00D81327" w:rsidP="009E4E22">
      <w:pPr>
        <w:jc w:val="both"/>
        <w:rPr>
          <w:rFonts w:ascii="Times New Roman" w:hAnsi="Times New Roman"/>
          <w:lang w:eastAsia="en-US"/>
        </w:rPr>
      </w:pPr>
      <w:bookmarkStart w:id="4" w:name="_Hlk154148062"/>
      <w:r w:rsidRPr="008D72C8">
        <w:rPr>
          <w:rFonts w:ascii="Times New Roman" w:hAnsi="Times New Roman"/>
          <w:lang w:eastAsia="en-US"/>
        </w:rPr>
        <w:t>Период оборота запасов</w:t>
      </w:r>
      <w:r w:rsidR="003C2F22" w:rsidRPr="008D72C8">
        <w:rPr>
          <w:rFonts w:ascii="Times New Roman" w:hAnsi="Times New Roman"/>
          <w:lang w:eastAsia="en-US"/>
        </w:rPr>
        <w:t xml:space="preserve"> </w:t>
      </w:r>
      <w:bookmarkEnd w:id="4"/>
      <w:r w:rsidR="003C2F22" w:rsidRPr="008D72C8">
        <w:rPr>
          <w:rFonts w:ascii="Times New Roman" w:hAnsi="Times New Roman"/>
          <w:lang w:eastAsia="en-US"/>
        </w:rPr>
        <w:t>- показывает, на сколько дней хватит запаса товаров при текущем уровне производства (объемах торгового процесса при торговле покупными товарами). Или за сколько дней продается складской запас, как быстро получаем деньги, которые вложены в запасы.</w:t>
      </w:r>
    </w:p>
    <w:p w14:paraId="184F07E5" w14:textId="77777777" w:rsidR="003C2F22" w:rsidRPr="008D72C8" w:rsidRDefault="003C2F22" w:rsidP="009E4E22">
      <w:pPr>
        <w:jc w:val="both"/>
        <w:rPr>
          <w:rFonts w:ascii="Times New Roman" w:hAnsi="Times New Roman"/>
          <w:lang w:eastAsia="en-US"/>
        </w:rPr>
      </w:pPr>
      <w:r w:rsidRPr="008D72C8">
        <w:rPr>
          <w:rFonts w:ascii="Times New Roman" w:hAnsi="Times New Roman"/>
          <w:lang w:eastAsia="en-US"/>
        </w:rPr>
        <w:t xml:space="preserve">Период оборота запасов, </w:t>
      </w:r>
      <w:r w:rsidR="004A3FDD" w:rsidRPr="008D72C8">
        <w:rPr>
          <w:rFonts w:ascii="Times New Roman" w:hAnsi="Times New Roman"/>
          <w:lang w:eastAsia="en-US"/>
        </w:rPr>
        <w:t xml:space="preserve">в </w:t>
      </w:r>
      <w:r w:rsidRPr="008D72C8">
        <w:rPr>
          <w:rFonts w:ascii="Times New Roman" w:hAnsi="Times New Roman"/>
          <w:lang w:eastAsia="en-US"/>
        </w:rPr>
        <w:t>дн</w:t>
      </w:r>
      <w:r w:rsidR="004A3FDD" w:rsidRPr="008D72C8">
        <w:rPr>
          <w:rFonts w:ascii="Times New Roman" w:hAnsi="Times New Roman"/>
          <w:lang w:eastAsia="en-US"/>
        </w:rPr>
        <w:t>ях</w:t>
      </w:r>
      <w:r w:rsidRPr="008D72C8">
        <w:rPr>
          <w:rFonts w:ascii="Times New Roman" w:hAnsi="Times New Roman"/>
          <w:lang w:eastAsia="en-US"/>
        </w:rPr>
        <w:t xml:space="preserve"> =</w:t>
      </w:r>
      <w:r w:rsidR="004A3FDD" w:rsidRPr="008D72C8">
        <w:rPr>
          <w:rFonts w:ascii="Times New Roman" w:hAnsi="Times New Roman"/>
          <w:lang w:eastAsia="en-US"/>
        </w:rPr>
        <w:t xml:space="preserve"> </w:t>
      </w:r>
      <w:r w:rsidRPr="008D72C8">
        <w:rPr>
          <w:rFonts w:ascii="Times New Roman" w:hAnsi="Times New Roman"/>
          <w:lang w:eastAsia="en-US"/>
        </w:rPr>
        <w:t>выручка</w:t>
      </w:r>
      <w:r w:rsidR="004A3FDD" w:rsidRPr="008D72C8">
        <w:rPr>
          <w:rFonts w:ascii="Times New Roman" w:hAnsi="Times New Roman"/>
          <w:lang w:eastAsia="en-US"/>
        </w:rPr>
        <w:t xml:space="preserve"> </w:t>
      </w:r>
      <w:r w:rsidRPr="008D72C8">
        <w:rPr>
          <w:rFonts w:ascii="Times New Roman" w:hAnsi="Times New Roman"/>
          <w:lang w:eastAsia="en-US"/>
        </w:rPr>
        <w:t>/</w:t>
      </w:r>
      <w:r w:rsidR="004A3FDD" w:rsidRPr="008D72C8">
        <w:rPr>
          <w:rFonts w:ascii="Times New Roman" w:hAnsi="Times New Roman"/>
          <w:lang w:eastAsia="en-US"/>
        </w:rPr>
        <w:t xml:space="preserve"> </w:t>
      </w:r>
      <w:r w:rsidRPr="008D72C8">
        <w:rPr>
          <w:rFonts w:ascii="Times New Roman" w:hAnsi="Times New Roman"/>
          <w:lang w:eastAsia="en-US"/>
        </w:rPr>
        <w:t xml:space="preserve">усредненное значение </w:t>
      </w:r>
      <w:r w:rsidR="004A3FDD" w:rsidRPr="008D72C8">
        <w:rPr>
          <w:rFonts w:ascii="Times New Roman" w:hAnsi="Times New Roman"/>
          <w:lang w:eastAsia="en-US"/>
        </w:rPr>
        <w:t>объема ТМЗ</w:t>
      </w:r>
    </w:p>
    <w:p w14:paraId="2AEE9E34" w14:textId="77777777" w:rsidR="004E69B9" w:rsidRPr="008D72C8" w:rsidRDefault="00E4072F" w:rsidP="009E4E22">
      <w:pPr>
        <w:jc w:val="both"/>
        <w:rPr>
          <w:rFonts w:ascii="Times New Roman" w:hAnsi="Times New Roman"/>
          <w:b/>
          <w:bCs/>
          <w:lang w:eastAsia="en-US"/>
        </w:rPr>
      </w:pPr>
      <w:r w:rsidRPr="008D72C8">
        <w:rPr>
          <w:rFonts w:ascii="Times New Roman" w:hAnsi="Times New Roman"/>
          <w:b/>
          <w:bCs/>
          <w:lang w:eastAsia="en-US"/>
        </w:rPr>
        <w:t>4</w:t>
      </w:r>
      <w:r w:rsidR="004E69B9" w:rsidRPr="008D72C8">
        <w:rPr>
          <w:rFonts w:ascii="Times New Roman" w:hAnsi="Times New Roman"/>
          <w:b/>
          <w:bCs/>
          <w:lang w:eastAsia="en-US"/>
        </w:rPr>
        <w:t>.</w:t>
      </w:r>
      <w:r w:rsidR="003F4B93" w:rsidRPr="008D72C8">
        <w:rPr>
          <w:rFonts w:ascii="Times New Roman" w:hAnsi="Times New Roman"/>
          <w:b/>
          <w:bCs/>
          <w:lang w:eastAsia="en-US"/>
        </w:rPr>
        <w:t>6</w:t>
      </w:r>
      <w:r w:rsidR="004E69B9" w:rsidRPr="008D72C8">
        <w:rPr>
          <w:rFonts w:ascii="Times New Roman" w:hAnsi="Times New Roman"/>
          <w:b/>
          <w:bCs/>
          <w:lang w:eastAsia="en-US"/>
        </w:rPr>
        <w:t>. Период погашения дебиторской задолженности</w:t>
      </w:r>
    </w:p>
    <w:p w14:paraId="1F380BB5" w14:textId="77777777" w:rsidR="00D81327" w:rsidRPr="008D72C8" w:rsidRDefault="00D81327" w:rsidP="009E4E22">
      <w:pPr>
        <w:jc w:val="both"/>
        <w:rPr>
          <w:rFonts w:ascii="Times New Roman" w:hAnsi="Times New Roman"/>
          <w:lang w:eastAsia="en-US"/>
        </w:rPr>
      </w:pPr>
      <w:r w:rsidRPr="008D72C8">
        <w:rPr>
          <w:rFonts w:ascii="Times New Roman" w:hAnsi="Times New Roman"/>
          <w:lang w:eastAsia="en-US"/>
        </w:rPr>
        <w:t>Период погашения дебиторской задолженности</w:t>
      </w:r>
      <w:r w:rsidR="004A3FDD" w:rsidRPr="008D72C8">
        <w:rPr>
          <w:rFonts w:ascii="Times New Roman" w:hAnsi="Times New Roman"/>
          <w:lang w:eastAsia="en-US"/>
        </w:rPr>
        <w:t xml:space="preserve"> - индикатор эффективности отношений с клиентами, который показывает, как долго последние погашают свои счета. Коэффициент дает представление о платежной дисциплине покупателей.</w:t>
      </w:r>
    </w:p>
    <w:p w14:paraId="4425D7ED" w14:textId="77777777" w:rsidR="00CB70CF" w:rsidRPr="008D72C8" w:rsidRDefault="004A3FDD" w:rsidP="00CB70CF">
      <w:pPr>
        <w:jc w:val="both"/>
        <w:rPr>
          <w:rFonts w:ascii="Times New Roman" w:hAnsi="Times New Roman"/>
          <w:bCs/>
          <w:lang w:eastAsia="en-US"/>
        </w:rPr>
      </w:pPr>
      <w:r w:rsidRPr="008D72C8">
        <w:rPr>
          <w:rFonts w:ascii="Times New Roman" w:hAnsi="Times New Roman"/>
          <w:lang w:eastAsia="en-US"/>
        </w:rPr>
        <w:t>Период погашения дебиторской задолженности, в днях = (360*Среднегодовая сумма дебиторской задолженности) / Выручка.</w:t>
      </w:r>
      <w:r w:rsidR="00507813" w:rsidRPr="008D72C8">
        <w:rPr>
          <w:rFonts w:ascii="Times New Roman" w:hAnsi="Times New Roman"/>
          <w:lang w:eastAsia="en-US"/>
        </w:rPr>
        <w:br/>
      </w:r>
      <w:r w:rsidR="00507813" w:rsidRPr="008D72C8">
        <w:rPr>
          <w:rFonts w:ascii="Times New Roman" w:hAnsi="Times New Roman"/>
          <w:lang w:eastAsia="en-US"/>
        </w:rPr>
        <w:br/>
      </w:r>
      <w:r w:rsidR="00507813" w:rsidRPr="008D72C8">
        <w:rPr>
          <w:rFonts w:ascii="Times New Roman" w:hAnsi="Times New Roman"/>
          <w:b/>
          <w:bCs/>
          <w:lang w:eastAsia="en-US"/>
        </w:rPr>
        <w:t xml:space="preserve">5. </w:t>
      </w:r>
      <w:bookmarkStart w:id="5" w:name="_Hlk191565700"/>
      <w:r w:rsidR="00CB70CF" w:rsidRPr="008D72C8">
        <w:rPr>
          <w:rFonts w:ascii="Times New Roman" w:hAnsi="Times New Roman"/>
          <w:b/>
          <w:bCs/>
          <w:lang w:eastAsia="en-US"/>
        </w:rPr>
        <w:t>Денежные потоки</w:t>
      </w:r>
      <w:r w:rsidR="002606A7" w:rsidRPr="008D72C8">
        <w:rPr>
          <w:rFonts w:ascii="Times New Roman" w:hAnsi="Times New Roman"/>
          <w:b/>
          <w:bCs/>
          <w:lang w:eastAsia="en-US"/>
        </w:rPr>
        <w:t xml:space="preserve"> инвестиционного </w:t>
      </w:r>
      <w:r w:rsidR="00BF414D" w:rsidRPr="008D72C8">
        <w:rPr>
          <w:rFonts w:ascii="Times New Roman" w:hAnsi="Times New Roman"/>
          <w:b/>
          <w:bCs/>
          <w:lang w:eastAsia="en-US"/>
        </w:rPr>
        <w:t xml:space="preserve">коммерческого </w:t>
      </w:r>
      <w:r w:rsidR="002606A7" w:rsidRPr="008D72C8">
        <w:rPr>
          <w:rFonts w:ascii="Times New Roman" w:hAnsi="Times New Roman"/>
          <w:b/>
          <w:bCs/>
          <w:lang w:eastAsia="en-US"/>
        </w:rPr>
        <w:t>проекта</w:t>
      </w:r>
      <w:bookmarkEnd w:id="5"/>
      <w:r w:rsidR="00507813" w:rsidRPr="008D72C8">
        <w:rPr>
          <w:rFonts w:ascii="Times New Roman" w:hAnsi="Times New Roman"/>
          <w:b/>
          <w:bCs/>
          <w:lang w:eastAsia="en-US"/>
        </w:rPr>
        <w:br/>
      </w:r>
      <w:r w:rsidR="00507813" w:rsidRPr="008D72C8">
        <w:rPr>
          <w:rFonts w:ascii="Times New Roman" w:hAnsi="Times New Roman"/>
          <w:b/>
          <w:bCs/>
          <w:lang w:eastAsia="en-US"/>
        </w:rPr>
        <w:br/>
      </w:r>
      <w:r w:rsidR="00095AAC" w:rsidRPr="008D72C8">
        <w:rPr>
          <w:rFonts w:ascii="Times New Roman" w:hAnsi="Times New Roman"/>
          <w:lang w:eastAsia="en-US"/>
        </w:rPr>
        <w:t xml:space="preserve">5.1. </w:t>
      </w:r>
      <w:r w:rsidR="00CB70CF" w:rsidRPr="008D72C8">
        <w:rPr>
          <w:rFonts w:ascii="Times New Roman" w:hAnsi="Times New Roman"/>
          <w:lang w:eastAsia="en-US"/>
        </w:rPr>
        <w:t>Чистый денежный поток (или NCF) инвестиционного проекта — это разница между входящим и исходящим потоками за определённый отрезок времени (месяц, шесть месяцев, год и т. д.).</w:t>
      </w:r>
      <w:r w:rsidR="00CB70CF" w:rsidRPr="008D72C8">
        <w:rPr>
          <w:rFonts w:ascii="Times New Roman" w:hAnsi="Times New Roman"/>
          <w:lang w:eastAsia="en-US"/>
        </w:rPr>
        <w:br/>
      </w:r>
      <w:r w:rsidR="00C51E3A" w:rsidRPr="008D72C8">
        <w:rPr>
          <w:rFonts w:ascii="Times New Roman" w:hAnsi="Times New Roman"/>
          <w:lang w:eastAsia="en-US"/>
        </w:rPr>
        <w:br/>
        <w:t>Чистый денежный поток (NCF) = Входящие потоки (</w:t>
      </w:r>
      <w:r w:rsidR="00C51E3A" w:rsidRPr="008D72C8">
        <w:rPr>
          <w:rFonts w:ascii="Times New Roman" w:hAnsi="Times New Roman"/>
          <w:lang w:val="en-US" w:eastAsia="en-US"/>
        </w:rPr>
        <w:t>CI</w:t>
      </w:r>
      <w:r w:rsidR="00C51E3A" w:rsidRPr="008D72C8">
        <w:rPr>
          <w:rFonts w:ascii="Times New Roman" w:hAnsi="Times New Roman"/>
          <w:lang w:eastAsia="en-US"/>
        </w:rPr>
        <w:t>) − Исходящие потоки (</w:t>
      </w:r>
      <w:r w:rsidR="00C51E3A" w:rsidRPr="008D72C8">
        <w:rPr>
          <w:rFonts w:ascii="Times New Roman" w:hAnsi="Times New Roman"/>
          <w:lang w:val="en-US" w:eastAsia="en-US"/>
        </w:rPr>
        <w:t>CO</w:t>
      </w:r>
      <w:r w:rsidR="00C51E3A" w:rsidRPr="008D72C8">
        <w:rPr>
          <w:rFonts w:ascii="Times New Roman" w:hAnsi="Times New Roman"/>
          <w:lang w:eastAsia="en-US"/>
        </w:rPr>
        <w:t>)</w:t>
      </w:r>
      <w:r w:rsidR="00CB70CF" w:rsidRPr="008D72C8">
        <w:rPr>
          <w:rFonts w:ascii="Times New Roman" w:hAnsi="Times New Roman"/>
          <w:lang w:eastAsia="en-US"/>
        </w:rPr>
        <w:br/>
      </w:r>
      <w:r w:rsidR="00CB70CF" w:rsidRPr="008D72C8">
        <w:rPr>
          <w:rFonts w:ascii="Times New Roman" w:hAnsi="Times New Roman"/>
          <w:lang w:eastAsia="en-US"/>
        </w:rPr>
        <w:br/>
      </w:r>
      <w:r w:rsidR="002606A7" w:rsidRPr="008D72C8">
        <w:rPr>
          <w:rFonts w:ascii="Times New Roman" w:hAnsi="Times New Roman"/>
          <w:bCs/>
          <w:lang w:eastAsia="en-US"/>
        </w:rPr>
        <w:lastRenderedPageBreak/>
        <w:t xml:space="preserve">5.2. </w:t>
      </w:r>
      <w:r w:rsidR="00CB70CF" w:rsidRPr="008D72C8">
        <w:rPr>
          <w:rFonts w:ascii="Times New Roman" w:hAnsi="Times New Roman"/>
          <w:bCs/>
          <w:lang w:eastAsia="en-US"/>
        </w:rPr>
        <w:t>Входящий денежный поток</w:t>
      </w:r>
      <w:r w:rsidR="00C51E3A" w:rsidRPr="008D72C8">
        <w:rPr>
          <w:rFonts w:ascii="Times New Roman" w:hAnsi="Times New Roman"/>
          <w:bCs/>
          <w:lang w:eastAsia="en-US"/>
        </w:rPr>
        <w:t xml:space="preserve"> (или CI)</w:t>
      </w:r>
      <w:r w:rsidR="00CB70CF" w:rsidRPr="008D72C8">
        <w:rPr>
          <w:rFonts w:ascii="Times New Roman" w:hAnsi="Times New Roman"/>
          <w:bCs/>
          <w:lang w:eastAsia="en-US"/>
        </w:rPr>
        <w:t xml:space="preserve"> </w:t>
      </w:r>
      <w:r w:rsidR="00CB70CF" w:rsidRPr="008D72C8">
        <w:rPr>
          <w:rFonts w:ascii="Times New Roman" w:hAnsi="Times New Roman"/>
          <w:bCs/>
          <w:lang w:eastAsia="en-US"/>
        </w:rPr>
        <w:softHyphen/>
        <w:t>- это все поступления денег, связанные с реализацией проекта. Он включает доходы от продаж, возврат инвестиций, поступления от продажи активов и другие источники. Входящий денежный поток является ключевым элементом для анализа финансовой эффективности проекта.</w:t>
      </w:r>
      <w:r w:rsidR="00C51E3A" w:rsidRPr="008D72C8">
        <w:rPr>
          <w:rFonts w:ascii="Times New Roman" w:hAnsi="Times New Roman"/>
          <w:bCs/>
          <w:lang w:eastAsia="en-US"/>
        </w:rPr>
        <w:br/>
      </w:r>
    </w:p>
    <w:p w14:paraId="7AD96946" w14:textId="77777777" w:rsidR="00C51E3A" w:rsidRPr="008D72C8" w:rsidRDefault="00C51E3A" w:rsidP="00CB70CF">
      <w:pPr>
        <w:jc w:val="both"/>
        <w:rPr>
          <w:rFonts w:ascii="Times New Roman" w:hAnsi="Times New Roman"/>
          <w:bCs/>
          <w:lang w:eastAsia="en-US"/>
        </w:rPr>
      </w:pPr>
      <w:r w:rsidRPr="008D72C8">
        <w:rPr>
          <w:rFonts w:ascii="Times New Roman" w:hAnsi="Times New Roman"/>
          <w:bCs/>
          <w:lang w:eastAsia="en-US"/>
        </w:rPr>
        <w:t xml:space="preserve">5.3. Исходящий денежный поток (или </w:t>
      </w:r>
      <w:r w:rsidRPr="008D72C8">
        <w:rPr>
          <w:rFonts w:ascii="Times New Roman" w:hAnsi="Times New Roman"/>
          <w:bCs/>
          <w:lang w:val="en-US" w:eastAsia="en-US"/>
        </w:rPr>
        <w:t>CO</w:t>
      </w:r>
      <w:r w:rsidRPr="008D72C8">
        <w:rPr>
          <w:rFonts w:ascii="Times New Roman" w:hAnsi="Times New Roman"/>
          <w:bCs/>
          <w:lang w:eastAsia="en-US"/>
        </w:rPr>
        <w:t>) инвестиционного проекта — это все затраты и выплаты, связанные с реализацией проекта. Он включает первоначальные инвестиции, операционные расходы, налоги, выплаты по кредитам и другие расходы. Исходящий денежный поток является важной частью финансового анализа, так как позволяет оценить, сколько средств нужно вложить в проект и какие расходы ожидаются в процессе его реализации.</w:t>
      </w:r>
    </w:p>
    <w:p w14:paraId="3C713E3D" w14:textId="07D1E99A" w:rsidR="00793C54" w:rsidRPr="008D72C8" w:rsidRDefault="002606A7" w:rsidP="00270BCE">
      <w:pPr>
        <w:jc w:val="both"/>
        <w:rPr>
          <w:rFonts w:ascii="Times New Roman" w:hAnsi="Times New Roman"/>
          <w:bCs/>
          <w:lang w:eastAsia="en-US"/>
        </w:rPr>
      </w:pPr>
      <w:r w:rsidRPr="008D72C8">
        <w:rPr>
          <w:rFonts w:ascii="Times New Roman" w:hAnsi="Times New Roman"/>
          <w:bCs/>
          <w:lang w:eastAsia="en-US"/>
        </w:rPr>
        <w:t>5.</w:t>
      </w:r>
      <w:r w:rsidR="0088118B" w:rsidRPr="008D72C8">
        <w:rPr>
          <w:rFonts w:ascii="Times New Roman" w:hAnsi="Times New Roman"/>
          <w:bCs/>
          <w:lang w:eastAsia="en-US"/>
        </w:rPr>
        <w:t>4</w:t>
      </w:r>
      <w:r w:rsidRPr="008D72C8">
        <w:rPr>
          <w:rFonts w:ascii="Times New Roman" w:hAnsi="Times New Roman"/>
          <w:bCs/>
          <w:lang w:eastAsia="en-US"/>
        </w:rPr>
        <w:t xml:space="preserve">. При использовании данного метода </w:t>
      </w:r>
      <w:r w:rsidR="00924E3B" w:rsidRPr="008D72C8">
        <w:rPr>
          <w:rFonts w:ascii="Times New Roman" w:hAnsi="Times New Roman"/>
          <w:bCs/>
          <w:lang w:eastAsia="en-US"/>
        </w:rPr>
        <w:t>обязательным условием является привлечение Поручителя</w:t>
      </w:r>
      <w:r w:rsidRPr="008D72C8">
        <w:rPr>
          <w:rFonts w:ascii="Times New Roman" w:hAnsi="Times New Roman"/>
          <w:bCs/>
          <w:lang w:eastAsia="en-US"/>
        </w:rPr>
        <w:t xml:space="preserve">, который должен одновременно соответствовать требованиям: </w:t>
      </w:r>
      <w:r w:rsidR="00577C78" w:rsidRPr="008D72C8">
        <w:rPr>
          <w:rFonts w:ascii="Times New Roman" w:hAnsi="Times New Roman"/>
          <w:bCs/>
          <w:lang w:eastAsia="en-US"/>
        </w:rPr>
        <w:t xml:space="preserve">быть </w:t>
      </w:r>
      <w:r w:rsidR="00ED3049" w:rsidRPr="008D72C8">
        <w:rPr>
          <w:rFonts w:ascii="Times New Roman" w:hAnsi="Times New Roman"/>
          <w:bCs/>
          <w:lang w:eastAsia="en-US"/>
        </w:rPr>
        <w:t>связанн</w:t>
      </w:r>
      <w:r w:rsidR="00577C78" w:rsidRPr="008D72C8">
        <w:rPr>
          <w:rFonts w:ascii="Times New Roman" w:hAnsi="Times New Roman"/>
          <w:bCs/>
          <w:lang w:eastAsia="en-US"/>
        </w:rPr>
        <w:t>ой</w:t>
      </w:r>
      <w:r w:rsidR="00ED3049" w:rsidRPr="008D72C8">
        <w:rPr>
          <w:rFonts w:ascii="Times New Roman" w:hAnsi="Times New Roman"/>
          <w:bCs/>
          <w:lang w:eastAsia="en-US"/>
        </w:rPr>
        <w:t xml:space="preserve"> </w:t>
      </w:r>
      <w:r w:rsidRPr="008D72C8">
        <w:rPr>
          <w:rFonts w:ascii="Times New Roman" w:hAnsi="Times New Roman"/>
          <w:bCs/>
          <w:lang w:eastAsia="en-US"/>
        </w:rPr>
        <w:t>компани</w:t>
      </w:r>
      <w:r w:rsidR="00577C78" w:rsidRPr="008D72C8">
        <w:rPr>
          <w:rFonts w:ascii="Times New Roman" w:hAnsi="Times New Roman"/>
          <w:bCs/>
          <w:lang w:eastAsia="en-US"/>
        </w:rPr>
        <w:t>ей с потенциальным ЛПИ/ЛПИ</w:t>
      </w:r>
      <w:r w:rsidR="00A91554" w:rsidRPr="008D72C8">
        <w:rPr>
          <w:rFonts w:ascii="Times New Roman" w:hAnsi="Times New Roman"/>
          <w:bCs/>
          <w:lang w:eastAsia="en-US"/>
        </w:rPr>
        <w:t xml:space="preserve"> (юридически, организационно или родственно связанные субъекты, чьи отношения влияют на их экономическую деятельность)</w:t>
      </w:r>
      <w:r w:rsidR="00577C78" w:rsidRPr="008D72C8">
        <w:rPr>
          <w:rFonts w:ascii="Times New Roman" w:hAnsi="Times New Roman"/>
          <w:bCs/>
          <w:lang w:eastAsia="en-US"/>
        </w:rPr>
        <w:t>,</w:t>
      </w:r>
      <w:r w:rsidRPr="008D72C8">
        <w:rPr>
          <w:rFonts w:ascii="Times New Roman" w:hAnsi="Times New Roman"/>
          <w:bCs/>
          <w:lang w:eastAsia="en-US"/>
        </w:rPr>
        <w:t xml:space="preserve"> </w:t>
      </w:r>
      <w:r w:rsidR="00577C78" w:rsidRPr="008D72C8">
        <w:rPr>
          <w:rFonts w:ascii="Times New Roman" w:hAnsi="Times New Roman"/>
          <w:bCs/>
          <w:lang w:eastAsia="en-US"/>
        </w:rPr>
        <w:t xml:space="preserve">с момента   государственной   регистрации   которой прошло </w:t>
      </w:r>
      <w:r w:rsidRPr="008D72C8">
        <w:rPr>
          <w:rFonts w:ascii="Times New Roman" w:hAnsi="Times New Roman"/>
          <w:bCs/>
          <w:lang w:eastAsia="en-US"/>
        </w:rPr>
        <w:t xml:space="preserve"> более</w:t>
      </w:r>
      <w:r w:rsidR="00577C78" w:rsidRPr="008D72C8">
        <w:rPr>
          <w:rFonts w:ascii="Times New Roman" w:hAnsi="Times New Roman"/>
          <w:bCs/>
          <w:lang w:eastAsia="en-US"/>
        </w:rPr>
        <w:t xml:space="preserve"> 5</w:t>
      </w:r>
      <w:r w:rsidRPr="008D72C8">
        <w:rPr>
          <w:rFonts w:ascii="Times New Roman" w:hAnsi="Times New Roman"/>
          <w:bCs/>
          <w:lang w:eastAsia="en-US"/>
        </w:rPr>
        <w:t xml:space="preserve"> лет; собственник </w:t>
      </w:r>
      <w:r w:rsidR="00A91554" w:rsidRPr="008D72C8">
        <w:rPr>
          <w:rFonts w:ascii="Times New Roman" w:hAnsi="Times New Roman"/>
          <w:bCs/>
          <w:lang w:eastAsia="en-US"/>
        </w:rPr>
        <w:t>компании</w:t>
      </w:r>
      <w:r w:rsidRPr="008D72C8">
        <w:rPr>
          <w:rFonts w:ascii="Times New Roman" w:hAnsi="Times New Roman"/>
          <w:bCs/>
          <w:lang w:eastAsia="en-US"/>
        </w:rPr>
        <w:t xml:space="preserve"> — резидент РФ; рейтинг кредитоспособности не ниже «</w:t>
      </w:r>
      <w:r w:rsidR="003C2C95" w:rsidRPr="008D72C8">
        <w:rPr>
          <w:rFonts w:ascii="Times New Roman" w:hAnsi="Times New Roman"/>
          <w:bCs/>
          <w:lang w:eastAsia="en-US"/>
        </w:rPr>
        <w:t>с</w:t>
      </w:r>
      <w:r w:rsidR="00E631E0" w:rsidRPr="008D72C8">
        <w:rPr>
          <w:rFonts w:ascii="Times New Roman" w:hAnsi="Times New Roman"/>
          <w:bCs/>
          <w:lang w:eastAsia="en-US"/>
        </w:rPr>
        <w:t>реднего</w:t>
      </w:r>
      <w:r w:rsidRPr="008D72C8">
        <w:rPr>
          <w:rFonts w:ascii="Times New Roman" w:hAnsi="Times New Roman"/>
          <w:bCs/>
          <w:lang w:eastAsia="en-US"/>
        </w:rPr>
        <w:t>»</w:t>
      </w:r>
      <w:r w:rsidR="007F5481" w:rsidRPr="008D72C8">
        <w:rPr>
          <w:rFonts w:ascii="Times New Roman" w:hAnsi="Times New Roman"/>
          <w:bCs/>
          <w:lang w:eastAsia="en-US"/>
        </w:rPr>
        <w:t xml:space="preserve"> и/или наличие Залогового обеспечения. </w:t>
      </w:r>
      <w:r w:rsidR="007752E5" w:rsidRPr="008D72C8">
        <w:rPr>
          <w:rFonts w:ascii="Times New Roman" w:hAnsi="Times New Roman"/>
          <w:bCs/>
          <w:lang w:eastAsia="en-US"/>
        </w:rPr>
        <w:br/>
      </w:r>
      <w:r w:rsidR="00507813" w:rsidRPr="008D72C8">
        <w:rPr>
          <w:rFonts w:ascii="Times New Roman" w:hAnsi="Times New Roman"/>
          <w:bCs/>
          <w:lang w:eastAsia="en-US"/>
        </w:rPr>
        <w:br/>
      </w:r>
      <w:r w:rsidR="00F150AA" w:rsidRPr="008D72C8">
        <w:rPr>
          <w:rFonts w:ascii="Times New Roman" w:hAnsi="Times New Roman"/>
          <w:b/>
          <w:lang w:eastAsia="en-US"/>
        </w:rPr>
        <w:t>6</w:t>
      </w:r>
      <w:r w:rsidR="00A969FC" w:rsidRPr="008D72C8">
        <w:rPr>
          <w:rFonts w:ascii="Times New Roman" w:hAnsi="Times New Roman"/>
          <w:b/>
          <w:lang w:eastAsia="en-US"/>
        </w:rPr>
        <w:t>.</w:t>
      </w:r>
      <w:r w:rsidR="00793C54" w:rsidRPr="008D72C8">
        <w:rPr>
          <w:rFonts w:ascii="Times New Roman" w:hAnsi="Times New Roman"/>
          <w:b/>
          <w:lang w:eastAsia="en-US"/>
        </w:rPr>
        <w:t xml:space="preserve"> Сроки и порядок проверки</w:t>
      </w:r>
      <w:r w:rsidR="00793C54" w:rsidRPr="008D72C8">
        <w:rPr>
          <w:rFonts w:ascii="Times New Roman" w:hAnsi="Times New Roman"/>
          <w:lang w:eastAsia="en-US"/>
        </w:rPr>
        <w:t xml:space="preserve"> </w:t>
      </w:r>
      <w:r w:rsidR="00793C54" w:rsidRPr="008D72C8">
        <w:rPr>
          <w:rFonts w:ascii="Times New Roman" w:hAnsi="Times New Roman"/>
          <w:b/>
          <w:lang w:eastAsia="en-US"/>
        </w:rPr>
        <w:t>документов и информации</w:t>
      </w:r>
    </w:p>
    <w:p w14:paraId="5F6D7DC8" w14:textId="202DC070" w:rsidR="004B0687" w:rsidRPr="008D72C8" w:rsidRDefault="00F150AA" w:rsidP="005E57A0">
      <w:pPr>
        <w:spacing w:after="0"/>
        <w:jc w:val="both"/>
        <w:rPr>
          <w:rFonts w:ascii="Times New Roman" w:hAnsi="Times New Roman"/>
          <w:lang w:eastAsia="en-US"/>
        </w:rPr>
      </w:pPr>
      <w:r w:rsidRPr="008D72C8">
        <w:rPr>
          <w:rFonts w:ascii="Times New Roman" w:hAnsi="Times New Roman"/>
          <w:lang w:eastAsia="en-US"/>
        </w:rPr>
        <w:t>6</w:t>
      </w:r>
      <w:r w:rsidR="004B0687" w:rsidRPr="008D72C8">
        <w:rPr>
          <w:rFonts w:ascii="Times New Roman" w:hAnsi="Times New Roman"/>
          <w:lang w:eastAsia="en-US"/>
        </w:rPr>
        <w:t xml:space="preserve">.1. Документы и </w:t>
      </w:r>
      <w:r w:rsidR="005933BD" w:rsidRPr="008D72C8">
        <w:rPr>
          <w:rFonts w:ascii="Times New Roman" w:hAnsi="Times New Roman"/>
          <w:lang w:eastAsia="en-US"/>
        </w:rPr>
        <w:t>информация,</w:t>
      </w:r>
      <w:r w:rsidR="004B0687" w:rsidRPr="008D72C8">
        <w:rPr>
          <w:rFonts w:ascii="Times New Roman" w:hAnsi="Times New Roman"/>
          <w:lang w:eastAsia="en-US"/>
        </w:rPr>
        <w:t xml:space="preserve"> предоставляемая потенциальными ЛПИ</w:t>
      </w:r>
      <w:r w:rsidR="00B95877" w:rsidRPr="008D72C8">
        <w:rPr>
          <w:rFonts w:ascii="Times New Roman" w:hAnsi="Times New Roman"/>
          <w:lang w:eastAsia="en-US"/>
        </w:rPr>
        <w:t>/</w:t>
      </w:r>
      <w:r w:rsidR="005933BD" w:rsidRPr="008D72C8">
        <w:rPr>
          <w:rFonts w:ascii="Times New Roman" w:hAnsi="Times New Roman"/>
          <w:lang w:eastAsia="en-US"/>
        </w:rPr>
        <w:t>ЛПИ,</w:t>
      </w:r>
      <w:r w:rsidR="004B0687" w:rsidRPr="008D72C8">
        <w:rPr>
          <w:rFonts w:ascii="Times New Roman" w:hAnsi="Times New Roman"/>
          <w:lang w:eastAsia="en-US"/>
        </w:rPr>
        <w:t xml:space="preserve"> проверяется Оператором в соответствии с разделом 3 настоящего регламента в течение 3(трех) рабочих дней с даты получения полного пакета документов, необходимого для принятия решения.</w:t>
      </w:r>
    </w:p>
    <w:p w14:paraId="067F3BE0" w14:textId="77777777" w:rsidR="004B0687" w:rsidRPr="008D72C8" w:rsidRDefault="00F150AA" w:rsidP="005E57A0">
      <w:pPr>
        <w:spacing w:after="0"/>
        <w:jc w:val="both"/>
        <w:rPr>
          <w:rFonts w:ascii="Times New Roman" w:hAnsi="Times New Roman"/>
          <w:lang w:eastAsia="en-US"/>
        </w:rPr>
      </w:pPr>
      <w:r w:rsidRPr="008D72C8">
        <w:rPr>
          <w:rFonts w:ascii="Times New Roman" w:hAnsi="Times New Roman"/>
          <w:lang w:eastAsia="en-US"/>
        </w:rPr>
        <w:t>6</w:t>
      </w:r>
      <w:r w:rsidR="004B0687" w:rsidRPr="008D72C8">
        <w:rPr>
          <w:rFonts w:ascii="Times New Roman" w:hAnsi="Times New Roman"/>
          <w:lang w:eastAsia="en-US"/>
        </w:rPr>
        <w:t xml:space="preserve">.2. Функционал платформы «НибблИнвест» по подаче инвестиционного предложения не доступен для потенциальных ЛПИ на период проверки документов и информации. </w:t>
      </w:r>
    </w:p>
    <w:p w14:paraId="5A28A829" w14:textId="77777777" w:rsidR="004B0687" w:rsidRPr="008D72C8" w:rsidRDefault="00F150AA" w:rsidP="005E57A0">
      <w:pPr>
        <w:spacing w:after="0"/>
        <w:jc w:val="both"/>
        <w:rPr>
          <w:rFonts w:ascii="Times New Roman" w:hAnsi="Times New Roman"/>
          <w:lang w:eastAsia="en-US"/>
        </w:rPr>
      </w:pPr>
      <w:r w:rsidRPr="008D72C8">
        <w:rPr>
          <w:rFonts w:ascii="Times New Roman" w:hAnsi="Times New Roman"/>
          <w:lang w:eastAsia="en-US"/>
        </w:rPr>
        <w:t>6</w:t>
      </w:r>
      <w:r w:rsidR="004B0687" w:rsidRPr="008D72C8">
        <w:rPr>
          <w:rFonts w:ascii="Times New Roman" w:hAnsi="Times New Roman"/>
          <w:lang w:eastAsia="en-US"/>
        </w:rPr>
        <w:t>.3. Оператор осуществляет проверку документов и всю полученную информацию, в том числе содержащуюся в Бюро кредитных историй, при каждом получении инвестиционного предложения от ЛПИ в срок не более 3 (трех) рабочих дней, с даты получения полного пакета документов, необходимого для принятия решения.</w:t>
      </w:r>
    </w:p>
    <w:p w14:paraId="64C8180A" w14:textId="64AE3B6C" w:rsidR="004B0687" w:rsidRPr="008D72C8" w:rsidRDefault="004B0687" w:rsidP="005E57A0">
      <w:pPr>
        <w:spacing w:after="0"/>
        <w:jc w:val="both"/>
        <w:rPr>
          <w:rFonts w:ascii="Times New Roman" w:hAnsi="Times New Roman"/>
          <w:lang w:eastAsia="en-US"/>
        </w:rPr>
      </w:pPr>
      <w:r w:rsidRPr="008D72C8">
        <w:rPr>
          <w:rFonts w:ascii="Times New Roman" w:hAnsi="Times New Roman"/>
          <w:lang w:eastAsia="en-US"/>
        </w:rPr>
        <w:t xml:space="preserve">Периодичность получения информации в Бюро кредитных историй и иной информации ЛПИ при подаче очередной заявки на размещение инвестиционного предложения не должна превышать </w:t>
      </w:r>
      <w:r w:rsidR="003E4F36" w:rsidRPr="008D72C8">
        <w:rPr>
          <w:rFonts w:ascii="Times New Roman" w:hAnsi="Times New Roman"/>
          <w:lang w:eastAsia="en-US"/>
        </w:rPr>
        <w:t>35 календарных дней.</w:t>
      </w:r>
    </w:p>
    <w:p w14:paraId="6B4F2E18" w14:textId="3DC35E50" w:rsidR="004B0687" w:rsidRPr="008D72C8" w:rsidRDefault="004B0687" w:rsidP="005E57A0">
      <w:pPr>
        <w:spacing w:after="0"/>
        <w:jc w:val="both"/>
        <w:rPr>
          <w:rFonts w:ascii="Times New Roman" w:hAnsi="Times New Roman"/>
          <w:lang w:eastAsia="en-US"/>
        </w:rPr>
      </w:pPr>
      <w:r w:rsidRPr="008D72C8">
        <w:rPr>
          <w:rFonts w:ascii="Times New Roman" w:hAnsi="Times New Roman"/>
          <w:lang w:eastAsia="en-US"/>
        </w:rPr>
        <w:t>В случае, если ЛПИ одновременно соответствует таким требованиям, как: за крайние 24 месяца имеет на Платформе не менее 3-х закрытых займов; суммарное количество платежей за крайние 24 месяца (по закрытым и действующим) 18 и более; отсутствие просроченной задолженности за крайние 24 месяца; наличие Поручителя (связанной компании) в рассматриваемом инвестиционном  предложении, то периодичность запроса информации в Бюро кредитных историй остается на усмотрении Оператора</w:t>
      </w:r>
      <w:r w:rsidR="00513946" w:rsidRPr="008D72C8">
        <w:rPr>
          <w:rFonts w:ascii="Times New Roman" w:hAnsi="Times New Roman"/>
          <w:lang w:eastAsia="en-US"/>
        </w:rPr>
        <w:t>.</w:t>
      </w:r>
      <w:r w:rsidR="00513946" w:rsidRPr="008D72C8">
        <w:rPr>
          <w:rFonts w:ascii="Times New Roman" w:hAnsi="Times New Roman"/>
          <w:lang w:eastAsia="en-US"/>
        </w:rPr>
        <w:br/>
        <w:t>Запрос информации в Бюро кредитных историй по директору и учредителю/учредителям</w:t>
      </w:r>
      <w:r w:rsidR="0053526F" w:rsidRPr="008D72C8">
        <w:rPr>
          <w:rFonts w:ascii="Times New Roman" w:hAnsi="Times New Roman"/>
          <w:lang w:eastAsia="en-US"/>
        </w:rPr>
        <w:t xml:space="preserve"> </w:t>
      </w:r>
      <w:r w:rsidR="00513946" w:rsidRPr="008D72C8">
        <w:rPr>
          <w:rFonts w:ascii="Times New Roman" w:hAnsi="Times New Roman"/>
          <w:lang w:eastAsia="en-US"/>
        </w:rPr>
        <w:t>(как по физическим лицам) осуществляется при необходимости</w:t>
      </w:r>
      <w:r w:rsidR="0053526F" w:rsidRPr="008D72C8">
        <w:rPr>
          <w:rFonts w:ascii="Times New Roman" w:hAnsi="Times New Roman"/>
          <w:lang w:eastAsia="en-US"/>
        </w:rPr>
        <w:t xml:space="preserve"> на усмотрение андеррайтера</w:t>
      </w:r>
      <w:r w:rsidR="00513946" w:rsidRPr="008D72C8">
        <w:rPr>
          <w:rFonts w:ascii="Times New Roman" w:hAnsi="Times New Roman"/>
          <w:lang w:eastAsia="en-US"/>
        </w:rPr>
        <w:t xml:space="preserve">. </w:t>
      </w:r>
      <w:r w:rsidRPr="008D72C8">
        <w:rPr>
          <w:rFonts w:ascii="Times New Roman" w:hAnsi="Times New Roman"/>
          <w:lang w:eastAsia="en-US"/>
        </w:rPr>
        <w:t xml:space="preserve">  </w:t>
      </w:r>
    </w:p>
    <w:p w14:paraId="57A82F3A" w14:textId="1976F404" w:rsidR="004B0687" w:rsidRPr="008D72C8" w:rsidRDefault="00F150AA" w:rsidP="005E57A0">
      <w:pPr>
        <w:spacing w:after="0"/>
        <w:jc w:val="both"/>
        <w:rPr>
          <w:rFonts w:ascii="Times New Roman" w:hAnsi="Times New Roman"/>
          <w:lang w:eastAsia="en-US"/>
        </w:rPr>
      </w:pPr>
      <w:r w:rsidRPr="008D72C8">
        <w:rPr>
          <w:rFonts w:ascii="Times New Roman" w:hAnsi="Times New Roman"/>
          <w:lang w:eastAsia="en-US"/>
        </w:rPr>
        <w:t>6</w:t>
      </w:r>
      <w:r w:rsidR="004B0687" w:rsidRPr="008D72C8">
        <w:rPr>
          <w:rFonts w:ascii="Times New Roman" w:hAnsi="Times New Roman"/>
          <w:lang w:eastAsia="en-US"/>
        </w:rPr>
        <w:t>.4. Оператор обновляет сведения и информацию о ЛПИ, которые имеют на платформе «НибблИнвест» действующие договора инвестирования (займа) из открытых источников и/или путем запроса информации у ЛПИ при необходимости.</w:t>
      </w:r>
    </w:p>
    <w:p w14:paraId="037C06F6" w14:textId="499463E2" w:rsidR="008043C0" w:rsidRPr="008D72C8" w:rsidRDefault="008043C0" w:rsidP="005E57A0">
      <w:pPr>
        <w:spacing w:after="0"/>
        <w:jc w:val="both"/>
        <w:rPr>
          <w:rFonts w:ascii="Times New Roman" w:hAnsi="Times New Roman"/>
          <w:lang w:eastAsia="en-US"/>
        </w:rPr>
      </w:pPr>
      <w:r w:rsidRPr="008D72C8">
        <w:rPr>
          <w:rFonts w:ascii="Times New Roman" w:hAnsi="Times New Roman"/>
          <w:lang w:eastAsia="en-US"/>
        </w:rPr>
        <w:t xml:space="preserve">6.5. Срок действия принятого </w:t>
      </w:r>
      <w:r w:rsidR="000C24BD" w:rsidRPr="008D72C8">
        <w:rPr>
          <w:rFonts w:ascii="Times New Roman" w:hAnsi="Times New Roman"/>
          <w:lang w:eastAsia="en-US"/>
        </w:rPr>
        <w:t xml:space="preserve">положительного </w:t>
      </w:r>
      <w:r w:rsidRPr="008D72C8">
        <w:rPr>
          <w:rFonts w:ascii="Times New Roman" w:hAnsi="Times New Roman"/>
          <w:lang w:eastAsia="en-US"/>
        </w:rPr>
        <w:t xml:space="preserve">решения </w:t>
      </w:r>
      <w:r w:rsidR="000C24BD" w:rsidRPr="008D72C8">
        <w:rPr>
          <w:rFonts w:ascii="Times New Roman" w:hAnsi="Times New Roman"/>
          <w:lang w:eastAsia="en-US"/>
        </w:rPr>
        <w:t xml:space="preserve">Оператора составляет </w:t>
      </w:r>
      <w:r w:rsidRPr="008D72C8">
        <w:rPr>
          <w:rFonts w:ascii="Times New Roman" w:hAnsi="Times New Roman"/>
          <w:lang w:eastAsia="en-US"/>
        </w:rPr>
        <w:t>не более 35 календарных дней</w:t>
      </w:r>
      <w:r w:rsidR="000C24BD" w:rsidRPr="008D72C8">
        <w:rPr>
          <w:rFonts w:ascii="Times New Roman" w:hAnsi="Times New Roman"/>
          <w:lang w:eastAsia="en-US"/>
        </w:rPr>
        <w:t xml:space="preserve">, со дня следующего за датой принятия решения. </w:t>
      </w:r>
    </w:p>
    <w:p w14:paraId="674F6E97" w14:textId="77777777" w:rsidR="00680ACC" w:rsidRPr="008D72C8" w:rsidRDefault="00680ACC" w:rsidP="005E57A0">
      <w:pPr>
        <w:spacing w:after="0"/>
        <w:jc w:val="both"/>
        <w:rPr>
          <w:rFonts w:ascii="Times New Roman" w:hAnsi="Times New Roman"/>
          <w:lang w:eastAsia="en-US"/>
        </w:rPr>
      </w:pPr>
    </w:p>
    <w:p w14:paraId="6A289C1C" w14:textId="77777777" w:rsidR="00793C54" w:rsidRPr="008D72C8" w:rsidRDefault="00793C54" w:rsidP="00F150AA">
      <w:pPr>
        <w:numPr>
          <w:ilvl w:val="0"/>
          <w:numId w:val="10"/>
        </w:numPr>
        <w:spacing w:after="0"/>
        <w:jc w:val="both"/>
        <w:rPr>
          <w:rFonts w:ascii="Times New Roman" w:hAnsi="Times New Roman"/>
          <w:b/>
          <w:lang w:eastAsia="en-US"/>
        </w:rPr>
      </w:pPr>
      <w:r w:rsidRPr="008D72C8">
        <w:rPr>
          <w:rFonts w:ascii="Times New Roman" w:hAnsi="Times New Roman"/>
          <w:b/>
          <w:lang w:eastAsia="en-US"/>
        </w:rPr>
        <w:t>Правила определения результатов, полученных при проведении Скоринг</w:t>
      </w:r>
      <w:r w:rsidR="00976CB0" w:rsidRPr="008D72C8">
        <w:rPr>
          <w:rFonts w:ascii="Times New Roman" w:hAnsi="Times New Roman"/>
          <w:b/>
          <w:lang w:eastAsia="en-US"/>
        </w:rPr>
        <w:t>ов</w:t>
      </w:r>
    </w:p>
    <w:p w14:paraId="32F9C86C" w14:textId="77777777" w:rsidR="00793C54" w:rsidRPr="008D72C8" w:rsidRDefault="00F150AA" w:rsidP="00F150AA">
      <w:pPr>
        <w:spacing w:after="0"/>
        <w:jc w:val="both"/>
        <w:rPr>
          <w:rFonts w:ascii="Times New Roman" w:hAnsi="Times New Roman"/>
          <w:lang w:eastAsia="en-US"/>
        </w:rPr>
      </w:pPr>
      <w:r w:rsidRPr="008D72C8">
        <w:rPr>
          <w:rFonts w:ascii="Times New Roman" w:hAnsi="Times New Roman"/>
          <w:lang w:eastAsia="en-US"/>
        </w:rPr>
        <w:t xml:space="preserve">7.1. </w:t>
      </w:r>
      <w:r w:rsidR="00793C54" w:rsidRPr="008D72C8">
        <w:rPr>
          <w:rFonts w:ascii="Times New Roman" w:hAnsi="Times New Roman"/>
          <w:lang w:eastAsia="en-US"/>
        </w:rPr>
        <w:t xml:space="preserve">Оценка </w:t>
      </w:r>
      <w:r w:rsidR="00976CB0" w:rsidRPr="008D72C8">
        <w:rPr>
          <w:rFonts w:ascii="Times New Roman" w:hAnsi="Times New Roman"/>
          <w:lang w:eastAsia="en-US"/>
        </w:rPr>
        <w:t xml:space="preserve">рейтинга кредитоспособности </w:t>
      </w:r>
      <w:r w:rsidR="00793C54" w:rsidRPr="008D72C8">
        <w:rPr>
          <w:rFonts w:ascii="Times New Roman" w:hAnsi="Times New Roman"/>
          <w:lang w:eastAsia="en-US"/>
        </w:rPr>
        <w:t xml:space="preserve">оценивается с учетом </w:t>
      </w:r>
      <w:r w:rsidR="00893677" w:rsidRPr="008D72C8">
        <w:rPr>
          <w:rFonts w:ascii="Times New Roman" w:hAnsi="Times New Roman"/>
          <w:lang w:eastAsia="en-US"/>
        </w:rPr>
        <w:t>установленных Оператором</w:t>
      </w:r>
      <w:r w:rsidR="00793C54" w:rsidRPr="008D72C8">
        <w:rPr>
          <w:rFonts w:ascii="Times New Roman" w:hAnsi="Times New Roman"/>
          <w:lang w:eastAsia="en-US"/>
        </w:rPr>
        <w:t xml:space="preserve"> показателей</w:t>
      </w:r>
      <w:r w:rsidR="00976CB0" w:rsidRPr="008D72C8">
        <w:rPr>
          <w:rFonts w:ascii="Times New Roman" w:hAnsi="Times New Roman"/>
          <w:lang w:eastAsia="en-US"/>
        </w:rPr>
        <w:t>,</w:t>
      </w:r>
      <w:r w:rsidR="00793C54" w:rsidRPr="008D72C8">
        <w:rPr>
          <w:rFonts w:ascii="Times New Roman" w:hAnsi="Times New Roman"/>
          <w:lang w:eastAsia="en-US"/>
        </w:rPr>
        <w:t xml:space="preserve"> </w:t>
      </w:r>
      <w:r w:rsidR="00893677" w:rsidRPr="008D72C8">
        <w:rPr>
          <w:rFonts w:ascii="Times New Roman" w:hAnsi="Times New Roman"/>
          <w:lang w:eastAsia="en-US"/>
        </w:rPr>
        <w:t xml:space="preserve">в том числе </w:t>
      </w:r>
      <w:r w:rsidR="00793C54" w:rsidRPr="008D72C8">
        <w:rPr>
          <w:rFonts w:ascii="Times New Roman" w:hAnsi="Times New Roman"/>
          <w:lang w:eastAsia="en-US"/>
        </w:rPr>
        <w:t xml:space="preserve">определенных в п. </w:t>
      </w:r>
      <w:r w:rsidR="00976CB0" w:rsidRPr="008D72C8">
        <w:rPr>
          <w:rFonts w:ascii="Times New Roman" w:hAnsi="Times New Roman"/>
          <w:lang w:eastAsia="en-US"/>
        </w:rPr>
        <w:t>3 настоящего</w:t>
      </w:r>
      <w:r w:rsidR="00793C54" w:rsidRPr="008D72C8">
        <w:rPr>
          <w:rFonts w:ascii="Times New Roman" w:hAnsi="Times New Roman"/>
          <w:lang w:eastAsia="en-US"/>
        </w:rPr>
        <w:t xml:space="preserve"> </w:t>
      </w:r>
      <w:r w:rsidR="00800515" w:rsidRPr="008D72C8">
        <w:rPr>
          <w:rFonts w:ascii="Times New Roman" w:hAnsi="Times New Roman"/>
          <w:lang w:eastAsia="en-US"/>
        </w:rPr>
        <w:t>Р</w:t>
      </w:r>
      <w:r w:rsidR="00793C54" w:rsidRPr="008D72C8">
        <w:rPr>
          <w:rFonts w:ascii="Times New Roman" w:hAnsi="Times New Roman"/>
          <w:lang w:eastAsia="en-US"/>
        </w:rPr>
        <w:t>егламента</w:t>
      </w:r>
      <w:r w:rsidR="00893677" w:rsidRPr="008D72C8">
        <w:rPr>
          <w:rFonts w:ascii="Times New Roman" w:hAnsi="Times New Roman"/>
          <w:lang w:eastAsia="en-US"/>
        </w:rPr>
        <w:t xml:space="preserve">. Присвоение категории </w:t>
      </w:r>
      <w:r w:rsidR="00893677" w:rsidRPr="008D72C8">
        <w:rPr>
          <w:rFonts w:ascii="Times New Roman" w:hAnsi="Times New Roman"/>
          <w:lang w:eastAsia="en-US"/>
        </w:rPr>
        <w:lastRenderedPageBreak/>
        <w:t>осуществляется в результате присвоения</w:t>
      </w:r>
      <w:r w:rsidR="007E0584" w:rsidRPr="008D72C8">
        <w:rPr>
          <w:rFonts w:ascii="Times New Roman" w:hAnsi="Times New Roman"/>
          <w:lang w:eastAsia="en-US"/>
        </w:rPr>
        <w:t xml:space="preserve"> </w:t>
      </w:r>
      <w:r w:rsidR="00893677" w:rsidRPr="008D72C8">
        <w:rPr>
          <w:rFonts w:ascii="Times New Roman" w:hAnsi="Times New Roman"/>
          <w:lang w:eastAsia="en-US"/>
        </w:rPr>
        <w:t>балл</w:t>
      </w:r>
      <w:r w:rsidR="000943CB" w:rsidRPr="008D72C8">
        <w:rPr>
          <w:rFonts w:ascii="Times New Roman" w:hAnsi="Times New Roman"/>
          <w:lang w:eastAsia="en-US"/>
        </w:rPr>
        <w:t>ов</w:t>
      </w:r>
      <w:r w:rsidR="00893677" w:rsidRPr="008D72C8">
        <w:rPr>
          <w:rFonts w:ascii="Times New Roman" w:hAnsi="Times New Roman"/>
          <w:lang w:eastAsia="en-US"/>
        </w:rPr>
        <w:t>, правила начисления которых определены в п. 3.1. настоящего регламента.</w:t>
      </w:r>
    </w:p>
    <w:p w14:paraId="338AA071" w14:textId="076502D6" w:rsidR="00E16E55" w:rsidRPr="008D72C8" w:rsidRDefault="003B591E" w:rsidP="003B591E">
      <w:pPr>
        <w:spacing w:after="0"/>
        <w:jc w:val="both"/>
        <w:rPr>
          <w:rFonts w:ascii="Times New Roman" w:hAnsi="Times New Roman"/>
          <w:lang w:eastAsia="en-US"/>
        </w:rPr>
      </w:pPr>
      <w:r w:rsidRPr="008D72C8">
        <w:rPr>
          <w:rFonts w:ascii="Times New Roman" w:hAnsi="Times New Roman"/>
          <w:lang w:eastAsia="en-US"/>
        </w:rPr>
        <w:t xml:space="preserve">7.2. </w:t>
      </w:r>
      <w:r w:rsidR="00976CB0" w:rsidRPr="008D72C8">
        <w:rPr>
          <w:rFonts w:ascii="Times New Roman" w:hAnsi="Times New Roman"/>
          <w:lang w:eastAsia="en-US"/>
        </w:rPr>
        <w:t xml:space="preserve">Оценка финансового положения </w:t>
      </w:r>
      <w:r w:rsidR="00893677" w:rsidRPr="008D72C8">
        <w:rPr>
          <w:rFonts w:ascii="Times New Roman" w:hAnsi="Times New Roman"/>
          <w:lang w:eastAsia="en-US"/>
        </w:rPr>
        <w:t>оценивается с учетом установленных Оператором показателей, в том числе определенных в п. 3 настоящего регламента. Присвоение категории осуществляется в результате присвоения балл</w:t>
      </w:r>
      <w:r w:rsidR="000943CB" w:rsidRPr="008D72C8">
        <w:rPr>
          <w:rFonts w:ascii="Times New Roman" w:hAnsi="Times New Roman"/>
          <w:lang w:eastAsia="en-US"/>
        </w:rPr>
        <w:t>ов</w:t>
      </w:r>
      <w:r w:rsidR="00893677" w:rsidRPr="008D72C8">
        <w:rPr>
          <w:rFonts w:ascii="Times New Roman" w:hAnsi="Times New Roman"/>
          <w:lang w:eastAsia="en-US"/>
        </w:rPr>
        <w:t xml:space="preserve">, правила начисления которых определены в п. 3.2. настоящего </w:t>
      </w:r>
      <w:r w:rsidR="00800515" w:rsidRPr="008D72C8">
        <w:rPr>
          <w:rFonts w:ascii="Times New Roman" w:hAnsi="Times New Roman"/>
          <w:lang w:eastAsia="en-US"/>
        </w:rPr>
        <w:t>Р</w:t>
      </w:r>
      <w:r w:rsidR="00893677" w:rsidRPr="008D72C8">
        <w:rPr>
          <w:rFonts w:ascii="Times New Roman" w:hAnsi="Times New Roman"/>
          <w:lang w:eastAsia="en-US"/>
        </w:rPr>
        <w:t>егламента.</w:t>
      </w:r>
      <w:r w:rsidR="0048071E" w:rsidRPr="008D72C8">
        <w:rPr>
          <w:rFonts w:ascii="Times New Roman" w:hAnsi="Times New Roman"/>
          <w:lang w:eastAsia="en-US"/>
        </w:rPr>
        <w:br/>
        <w:t>7.3. Оценка рейтинга кредитоспособности проекта оценивается с учетом установленных Оператором показателей, в том числе определенных в п. 3 настоящего Регламента. Присвоение категории осуществляется в результате присвоения баллов, правила начисления которых определены в п. 3.3. настоящего регламента.</w:t>
      </w:r>
      <w:r w:rsidR="001A0F9E" w:rsidRPr="008D72C8">
        <w:rPr>
          <w:rFonts w:ascii="Times New Roman" w:hAnsi="Times New Roman"/>
          <w:lang w:eastAsia="en-US"/>
        </w:rPr>
        <w:br/>
        <w:t>7.</w:t>
      </w:r>
      <w:r w:rsidR="0048071E" w:rsidRPr="008D72C8">
        <w:rPr>
          <w:rFonts w:ascii="Times New Roman" w:hAnsi="Times New Roman"/>
          <w:lang w:eastAsia="en-US"/>
        </w:rPr>
        <w:t>4</w:t>
      </w:r>
      <w:r w:rsidR="001A0F9E" w:rsidRPr="008D72C8">
        <w:rPr>
          <w:rFonts w:ascii="Times New Roman" w:hAnsi="Times New Roman"/>
          <w:lang w:eastAsia="en-US"/>
        </w:rPr>
        <w:t xml:space="preserve">. Оценка </w:t>
      </w:r>
      <w:r w:rsidR="00E16E55" w:rsidRPr="008D72C8">
        <w:rPr>
          <w:rFonts w:ascii="Times New Roman" w:hAnsi="Times New Roman"/>
          <w:lang w:eastAsia="en-US"/>
        </w:rPr>
        <w:t>чистого денежного потока (NCF)</w:t>
      </w:r>
      <w:r w:rsidR="001A0F9E" w:rsidRPr="008D72C8">
        <w:rPr>
          <w:rFonts w:ascii="Times New Roman" w:hAnsi="Times New Roman"/>
          <w:lang w:eastAsia="en-US"/>
        </w:rPr>
        <w:t xml:space="preserve"> инвестиционного проекта определяется в </w:t>
      </w:r>
      <w:r w:rsidR="00E16E55" w:rsidRPr="008D72C8">
        <w:rPr>
          <w:rFonts w:ascii="Times New Roman" w:hAnsi="Times New Roman"/>
          <w:lang w:eastAsia="en-US"/>
        </w:rPr>
        <w:t>рублях</w:t>
      </w:r>
      <w:r w:rsidR="005367FB" w:rsidRPr="008D72C8">
        <w:rPr>
          <w:rFonts w:ascii="Times New Roman" w:hAnsi="Times New Roman"/>
          <w:lang w:eastAsia="en-US"/>
        </w:rPr>
        <w:t>.</w:t>
      </w:r>
      <w:r w:rsidR="0048071E" w:rsidRPr="008D72C8">
        <w:rPr>
          <w:rFonts w:ascii="Times New Roman" w:hAnsi="Times New Roman"/>
          <w:lang w:eastAsia="en-US"/>
        </w:rPr>
        <w:t xml:space="preserve"> Оценивается с учетом установленных Оператором показателей, в том числе определенных в п. 5 настоящего Регламента. </w:t>
      </w:r>
      <w:r w:rsidR="005367FB" w:rsidRPr="008D72C8">
        <w:rPr>
          <w:rFonts w:ascii="Times New Roman" w:hAnsi="Times New Roman"/>
          <w:lang w:eastAsia="en-US"/>
        </w:rPr>
        <w:t xml:space="preserve"> </w:t>
      </w:r>
      <w:r w:rsidR="00E16E55" w:rsidRPr="008D72C8">
        <w:rPr>
          <w:rFonts w:ascii="Times New Roman" w:hAnsi="Times New Roman"/>
          <w:lang w:eastAsia="en-US"/>
        </w:rPr>
        <w:t>Инвестиция является эффективной, если приход финансов больше их расхода, то есть NCF имеет положительное значение</w:t>
      </w:r>
      <w:r w:rsidR="00E85654" w:rsidRPr="008D72C8">
        <w:rPr>
          <w:rFonts w:ascii="Times New Roman" w:hAnsi="Times New Roman"/>
          <w:lang w:eastAsia="en-US"/>
        </w:rPr>
        <w:t xml:space="preserve"> накопительным итогом</w:t>
      </w:r>
      <w:r w:rsidR="008A5B58" w:rsidRPr="008D72C8">
        <w:rPr>
          <w:rFonts w:ascii="Times New Roman" w:hAnsi="Times New Roman"/>
          <w:lang w:eastAsia="en-US"/>
        </w:rPr>
        <w:t xml:space="preserve"> </w:t>
      </w:r>
      <w:r w:rsidR="00F16A01" w:rsidRPr="008D72C8">
        <w:rPr>
          <w:rFonts w:ascii="Times New Roman" w:hAnsi="Times New Roman"/>
          <w:lang w:eastAsia="en-US"/>
        </w:rPr>
        <w:t>на горизонт</w:t>
      </w:r>
      <w:r w:rsidR="006A38FD" w:rsidRPr="008D72C8">
        <w:rPr>
          <w:rFonts w:ascii="Times New Roman" w:hAnsi="Times New Roman"/>
          <w:lang w:eastAsia="en-US"/>
        </w:rPr>
        <w:t>ах</w:t>
      </w:r>
      <w:r w:rsidR="00F16A01" w:rsidRPr="008D72C8">
        <w:rPr>
          <w:rFonts w:ascii="Times New Roman" w:hAnsi="Times New Roman"/>
          <w:lang w:eastAsia="en-US"/>
        </w:rPr>
        <w:t xml:space="preserve"> 1,</w:t>
      </w:r>
      <w:r w:rsidR="006A38FD" w:rsidRPr="008D72C8">
        <w:rPr>
          <w:rFonts w:ascii="Times New Roman" w:hAnsi="Times New Roman"/>
          <w:lang w:eastAsia="en-US"/>
        </w:rPr>
        <w:t xml:space="preserve"> </w:t>
      </w:r>
      <w:r w:rsidR="00F16A01" w:rsidRPr="008D72C8">
        <w:rPr>
          <w:rFonts w:ascii="Times New Roman" w:hAnsi="Times New Roman"/>
          <w:lang w:eastAsia="en-US"/>
        </w:rPr>
        <w:t>2 и 3 года деятельности</w:t>
      </w:r>
      <w:r w:rsidR="008A5B58" w:rsidRPr="008D72C8">
        <w:rPr>
          <w:rFonts w:ascii="Times New Roman" w:hAnsi="Times New Roman"/>
          <w:lang w:eastAsia="en-US"/>
        </w:rPr>
        <w:t xml:space="preserve">. </w:t>
      </w:r>
      <w:r w:rsidR="00BF414D" w:rsidRPr="008D72C8">
        <w:rPr>
          <w:rFonts w:ascii="Times New Roman" w:hAnsi="Times New Roman"/>
          <w:lang w:eastAsia="en-US"/>
        </w:rPr>
        <w:t xml:space="preserve">Данная оценка применяется к </w:t>
      </w:r>
      <w:r w:rsidR="005F6389" w:rsidRPr="008D72C8">
        <w:rPr>
          <w:rFonts w:ascii="Times New Roman" w:hAnsi="Times New Roman"/>
          <w:lang w:eastAsia="en-US"/>
        </w:rPr>
        <w:t>потенциальным ЛПИ/ЛПИ – инвестиционным коммерческим проектам</w:t>
      </w:r>
      <w:r w:rsidR="00BF414D" w:rsidRPr="008D72C8">
        <w:rPr>
          <w:rFonts w:ascii="Times New Roman" w:hAnsi="Times New Roman"/>
          <w:lang w:eastAsia="en-US"/>
        </w:rPr>
        <w:t xml:space="preserve">, </w:t>
      </w:r>
      <w:r w:rsidR="00680ACC" w:rsidRPr="008D72C8">
        <w:rPr>
          <w:rFonts w:ascii="Times New Roman" w:hAnsi="Times New Roman"/>
          <w:lang w:eastAsia="en-US"/>
        </w:rPr>
        <w:t xml:space="preserve">срок регистрации которых </w:t>
      </w:r>
      <w:r w:rsidR="00BF414D" w:rsidRPr="008D72C8">
        <w:rPr>
          <w:rFonts w:ascii="Times New Roman" w:hAnsi="Times New Roman"/>
          <w:lang w:eastAsia="en-US"/>
        </w:rPr>
        <w:t xml:space="preserve">не достиг </w:t>
      </w:r>
      <w:r w:rsidR="00B6349C" w:rsidRPr="008D72C8">
        <w:rPr>
          <w:rFonts w:ascii="Times New Roman" w:hAnsi="Times New Roman"/>
          <w:lang w:eastAsia="en-US"/>
        </w:rPr>
        <w:t>12</w:t>
      </w:r>
      <w:r w:rsidR="00BF414D" w:rsidRPr="008D72C8">
        <w:rPr>
          <w:rFonts w:ascii="Times New Roman" w:hAnsi="Times New Roman"/>
          <w:lang w:eastAsia="en-US"/>
        </w:rPr>
        <w:t xml:space="preserve"> месяцев с момента государственной   регистрации   юридического   лица или индивидуального предпринимателя.</w:t>
      </w:r>
    </w:p>
    <w:p w14:paraId="6839D448" w14:textId="15F21A63" w:rsidR="00793C54" w:rsidRPr="008D72C8" w:rsidRDefault="003B591E" w:rsidP="003B591E">
      <w:pPr>
        <w:spacing w:after="0"/>
        <w:jc w:val="both"/>
        <w:rPr>
          <w:rFonts w:ascii="Times New Roman" w:hAnsi="Times New Roman"/>
          <w:lang w:eastAsia="en-US"/>
        </w:rPr>
      </w:pPr>
      <w:r w:rsidRPr="008D72C8">
        <w:rPr>
          <w:rFonts w:ascii="Times New Roman" w:hAnsi="Times New Roman"/>
          <w:lang w:eastAsia="en-US"/>
        </w:rPr>
        <w:t>7.</w:t>
      </w:r>
      <w:r w:rsidR="0048071E" w:rsidRPr="008D72C8">
        <w:rPr>
          <w:rFonts w:ascii="Times New Roman" w:hAnsi="Times New Roman"/>
          <w:lang w:eastAsia="en-US"/>
        </w:rPr>
        <w:t>5</w:t>
      </w:r>
      <w:r w:rsidRPr="008D72C8">
        <w:rPr>
          <w:rFonts w:ascii="Times New Roman" w:hAnsi="Times New Roman"/>
          <w:lang w:eastAsia="en-US"/>
        </w:rPr>
        <w:t xml:space="preserve">. </w:t>
      </w:r>
      <w:r w:rsidR="00793C54" w:rsidRPr="008D72C8">
        <w:rPr>
          <w:rFonts w:ascii="Times New Roman" w:hAnsi="Times New Roman"/>
          <w:lang w:eastAsia="en-US"/>
        </w:rPr>
        <w:t>Оператор не допускает потенциальных ЛПИ</w:t>
      </w:r>
      <w:r w:rsidR="00E111B2" w:rsidRPr="008D72C8">
        <w:rPr>
          <w:rFonts w:ascii="Times New Roman" w:hAnsi="Times New Roman"/>
          <w:lang w:eastAsia="en-US"/>
        </w:rPr>
        <w:t>/</w:t>
      </w:r>
      <w:r w:rsidR="00793C54" w:rsidRPr="008D72C8">
        <w:rPr>
          <w:rFonts w:ascii="Times New Roman" w:hAnsi="Times New Roman"/>
          <w:lang w:eastAsia="en-US"/>
        </w:rPr>
        <w:t xml:space="preserve">ЛПИ к работе с платформой «НибблИнвест» значение показателей которых </w:t>
      </w:r>
      <w:r w:rsidR="00976CB0" w:rsidRPr="008D72C8">
        <w:rPr>
          <w:rFonts w:ascii="Times New Roman" w:hAnsi="Times New Roman"/>
          <w:lang w:eastAsia="en-US"/>
        </w:rPr>
        <w:t>по рейтингу кредитоспособности</w:t>
      </w:r>
      <w:r w:rsidR="00E4112A" w:rsidRPr="008D72C8">
        <w:rPr>
          <w:rFonts w:ascii="Times New Roman" w:hAnsi="Times New Roman"/>
          <w:lang w:eastAsia="en-US"/>
        </w:rPr>
        <w:t>, и</w:t>
      </w:r>
      <w:r w:rsidR="00976CB0" w:rsidRPr="008D72C8">
        <w:rPr>
          <w:rFonts w:ascii="Times New Roman" w:hAnsi="Times New Roman"/>
          <w:lang w:eastAsia="en-US"/>
        </w:rPr>
        <w:t xml:space="preserve"> по оценке финансового положения имеют категории ниже «среднего»</w:t>
      </w:r>
      <w:r w:rsidR="00682585" w:rsidRPr="008D72C8">
        <w:rPr>
          <w:rFonts w:ascii="Times New Roman" w:hAnsi="Times New Roman"/>
          <w:lang w:eastAsia="en-US"/>
        </w:rPr>
        <w:t xml:space="preserve"> за исключением наличия в поручителях связанных </w:t>
      </w:r>
      <w:r w:rsidR="00800515" w:rsidRPr="008D72C8">
        <w:rPr>
          <w:rFonts w:ascii="Times New Roman" w:hAnsi="Times New Roman"/>
          <w:lang w:eastAsia="en-US"/>
        </w:rPr>
        <w:t>лиц,</w:t>
      </w:r>
      <w:r w:rsidR="00682585" w:rsidRPr="008D72C8">
        <w:rPr>
          <w:rFonts w:ascii="Times New Roman" w:hAnsi="Times New Roman"/>
          <w:lang w:eastAsia="en-US"/>
        </w:rPr>
        <w:t xml:space="preserve"> рейтинг</w:t>
      </w:r>
      <w:r w:rsidR="00FD1041" w:rsidRPr="008D72C8">
        <w:rPr>
          <w:rFonts w:ascii="Times New Roman" w:hAnsi="Times New Roman"/>
          <w:lang w:eastAsia="en-US"/>
        </w:rPr>
        <w:t xml:space="preserve"> кредитоспособности и/или </w:t>
      </w:r>
      <w:r w:rsidR="00682585" w:rsidRPr="008D72C8">
        <w:rPr>
          <w:rFonts w:ascii="Times New Roman" w:hAnsi="Times New Roman"/>
          <w:lang w:eastAsia="en-US"/>
        </w:rPr>
        <w:t xml:space="preserve"> </w:t>
      </w:r>
      <w:r w:rsidR="00FD1041" w:rsidRPr="008D72C8">
        <w:rPr>
          <w:rFonts w:ascii="Times New Roman" w:hAnsi="Times New Roman"/>
          <w:lang w:eastAsia="en-US"/>
        </w:rPr>
        <w:t>финансового положения</w:t>
      </w:r>
      <w:r w:rsidR="00682585" w:rsidRPr="008D72C8">
        <w:rPr>
          <w:rFonts w:ascii="Times New Roman" w:hAnsi="Times New Roman"/>
          <w:lang w:eastAsia="en-US"/>
        </w:rPr>
        <w:t xml:space="preserve"> котор</w:t>
      </w:r>
      <w:r w:rsidR="00800515" w:rsidRPr="008D72C8">
        <w:rPr>
          <w:rFonts w:ascii="Times New Roman" w:hAnsi="Times New Roman"/>
          <w:lang w:eastAsia="en-US"/>
        </w:rPr>
        <w:t>ых</w:t>
      </w:r>
      <w:r w:rsidR="00E4112A" w:rsidRPr="008D72C8">
        <w:rPr>
          <w:rFonts w:ascii="Times New Roman" w:hAnsi="Times New Roman"/>
          <w:lang w:eastAsia="en-US"/>
        </w:rPr>
        <w:t xml:space="preserve"> </w:t>
      </w:r>
      <w:r w:rsidR="00682585" w:rsidRPr="008D72C8">
        <w:rPr>
          <w:rFonts w:ascii="Times New Roman" w:hAnsi="Times New Roman"/>
          <w:lang w:eastAsia="en-US"/>
        </w:rPr>
        <w:t>не ниже «хорошего».</w:t>
      </w:r>
    </w:p>
    <w:p w14:paraId="2CB4FBF5" w14:textId="3FEC72A1" w:rsidR="00793C54" w:rsidRPr="008D72C8" w:rsidRDefault="00CF735F" w:rsidP="00B6349C">
      <w:pPr>
        <w:spacing w:after="0"/>
        <w:jc w:val="both"/>
        <w:rPr>
          <w:rFonts w:ascii="Times New Roman" w:hAnsi="Times New Roman"/>
          <w:lang w:eastAsia="en-US"/>
        </w:rPr>
      </w:pPr>
      <w:r w:rsidRPr="008D72C8">
        <w:rPr>
          <w:rFonts w:ascii="Times New Roman" w:hAnsi="Times New Roman"/>
          <w:lang w:eastAsia="en-US"/>
        </w:rPr>
        <w:t>7.</w:t>
      </w:r>
      <w:r w:rsidR="0048071E" w:rsidRPr="008D72C8">
        <w:rPr>
          <w:rFonts w:ascii="Times New Roman" w:hAnsi="Times New Roman"/>
          <w:lang w:eastAsia="en-US"/>
        </w:rPr>
        <w:t>6</w:t>
      </w:r>
      <w:r w:rsidRPr="008D72C8">
        <w:rPr>
          <w:rFonts w:ascii="Times New Roman" w:hAnsi="Times New Roman"/>
          <w:lang w:eastAsia="en-US"/>
        </w:rPr>
        <w:t xml:space="preserve">. </w:t>
      </w:r>
      <w:r w:rsidR="00793C54" w:rsidRPr="008D72C8">
        <w:rPr>
          <w:rFonts w:ascii="Times New Roman" w:hAnsi="Times New Roman"/>
          <w:lang w:eastAsia="en-US"/>
        </w:rPr>
        <w:t xml:space="preserve">Лимит денежных средств для </w:t>
      </w:r>
      <w:r w:rsidR="00800515" w:rsidRPr="008D72C8">
        <w:rPr>
          <w:rFonts w:ascii="Times New Roman" w:hAnsi="Times New Roman"/>
          <w:lang w:eastAsia="en-US"/>
        </w:rPr>
        <w:t>потенциальных ЛПИ</w:t>
      </w:r>
      <w:r w:rsidR="00E111B2" w:rsidRPr="008D72C8">
        <w:rPr>
          <w:rFonts w:ascii="Times New Roman" w:hAnsi="Times New Roman"/>
          <w:lang w:eastAsia="en-US"/>
        </w:rPr>
        <w:t>/</w:t>
      </w:r>
      <w:r w:rsidR="00793C54" w:rsidRPr="008D72C8">
        <w:rPr>
          <w:rFonts w:ascii="Times New Roman" w:hAnsi="Times New Roman"/>
          <w:lang w:eastAsia="en-US"/>
        </w:rPr>
        <w:t>ЛПИ</w:t>
      </w:r>
      <w:r w:rsidR="00E111B2" w:rsidRPr="008D72C8">
        <w:rPr>
          <w:rFonts w:ascii="Times New Roman" w:hAnsi="Times New Roman"/>
          <w:lang w:eastAsia="en-US"/>
        </w:rPr>
        <w:t xml:space="preserve"> </w:t>
      </w:r>
      <w:r w:rsidR="00976CB0" w:rsidRPr="008D72C8">
        <w:rPr>
          <w:rFonts w:ascii="Times New Roman" w:hAnsi="Times New Roman"/>
          <w:lang w:eastAsia="en-US"/>
        </w:rPr>
        <w:t>рассчитывается индивидуально и зависит от среднегодовой выручки</w:t>
      </w:r>
      <w:r w:rsidR="007D2A34" w:rsidRPr="008D72C8">
        <w:rPr>
          <w:rFonts w:ascii="Times New Roman" w:hAnsi="Times New Roman"/>
          <w:lang w:eastAsia="en-US"/>
        </w:rPr>
        <w:t>, сферы</w:t>
      </w:r>
      <w:r w:rsidR="006E43F9" w:rsidRPr="008D72C8">
        <w:rPr>
          <w:rFonts w:ascii="Times New Roman" w:hAnsi="Times New Roman"/>
          <w:lang w:eastAsia="en-US"/>
        </w:rPr>
        <w:t xml:space="preserve"> основной деятельности </w:t>
      </w:r>
      <w:r w:rsidR="00DC2821" w:rsidRPr="008D72C8">
        <w:rPr>
          <w:rFonts w:ascii="Times New Roman" w:hAnsi="Times New Roman"/>
          <w:lang w:eastAsia="en-US"/>
        </w:rPr>
        <w:t xml:space="preserve">и прочих </w:t>
      </w:r>
      <w:r w:rsidR="007D2A34" w:rsidRPr="008D72C8">
        <w:rPr>
          <w:rFonts w:ascii="Times New Roman" w:hAnsi="Times New Roman"/>
          <w:lang w:eastAsia="en-US"/>
        </w:rPr>
        <w:t xml:space="preserve">финансовых и нефинансовых (репутационных, деловых) </w:t>
      </w:r>
      <w:r w:rsidR="00DC2821" w:rsidRPr="008D72C8">
        <w:rPr>
          <w:rFonts w:ascii="Times New Roman" w:hAnsi="Times New Roman"/>
          <w:lang w:eastAsia="en-US"/>
        </w:rPr>
        <w:t>факторов.</w:t>
      </w:r>
      <w:r w:rsidR="006E43F9" w:rsidRPr="008D72C8">
        <w:rPr>
          <w:rFonts w:ascii="Times New Roman" w:hAnsi="Times New Roman"/>
          <w:lang w:eastAsia="en-US"/>
        </w:rPr>
        <w:t xml:space="preserve"> </w:t>
      </w:r>
      <w:r w:rsidR="006C5829" w:rsidRPr="008D72C8">
        <w:rPr>
          <w:rFonts w:ascii="Times New Roman" w:hAnsi="Times New Roman"/>
          <w:lang w:eastAsia="en-US"/>
        </w:rPr>
        <w:br/>
        <w:t>7.</w:t>
      </w:r>
      <w:r w:rsidR="0048071E" w:rsidRPr="008D72C8">
        <w:rPr>
          <w:rFonts w:ascii="Times New Roman" w:hAnsi="Times New Roman"/>
          <w:lang w:eastAsia="en-US"/>
        </w:rPr>
        <w:t>7.</w:t>
      </w:r>
      <w:r w:rsidR="006C5829" w:rsidRPr="008D72C8">
        <w:rPr>
          <w:rFonts w:ascii="Times New Roman" w:hAnsi="Times New Roman"/>
          <w:lang w:eastAsia="en-US"/>
        </w:rPr>
        <w:t xml:space="preserve"> </w:t>
      </w:r>
      <w:r w:rsidR="00B6349C" w:rsidRPr="008D72C8">
        <w:rPr>
          <w:rFonts w:ascii="Times New Roman" w:hAnsi="Times New Roman"/>
          <w:lang w:eastAsia="en-US"/>
        </w:rPr>
        <w:t>Диапазон процентной ставки для ЛПИ устанавливается на усмотрение Генерального директора.</w:t>
      </w:r>
      <w:r w:rsidR="006C5829" w:rsidRPr="008D72C8">
        <w:rPr>
          <w:rFonts w:ascii="Times New Roman" w:hAnsi="Times New Roman"/>
          <w:lang w:eastAsia="en-US"/>
        </w:rPr>
        <w:br/>
      </w:r>
    </w:p>
    <w:p w14:paraId="3632C04B" w14:textId="77777777" w:rsidR="00793C54" w:rsidRPr="008D72C8" w:rsidRDefault="003B591E" w:rsidP="00EF16F7">
      <w:pPr>
        <w:ind w:hanging="11"/>
        <w:jc w:val="center"/>
        <w:rPr>
          <w:rFonts w:ascii="Times New Roman" w:hAnsi="Times New Roman"/>
          <w:b/>
          <w:lang w:eastAsia="en-US"/>
        </w:rPr>
      </w:pPr>
      <w:r w:rsidRPr="008D72C8">
        <w:rPr>
          <w:rFonts w:ascii="Times New Roman" w:hAnsi="Times New Roman"/>
          <w:b/>
          <w:lang w:eastAsia="en-US"/>
        </w:rPr>
        <w:t>8</w:t>
      </w:r>
      <w:r w:rsidR="00793C54" w:rsidRPr="008D72C8">
        <w:rPr>
          <w:rFonts w:ascii="Times New Roman" w:hAnsi="Times New Roman"/>
          <w:b/>
          <w:lang w:eastAsia="en-US"/>
        </w:rPr>
        <w:t>. Порядок привлечения третьих лиц при проведении Скоринга</w:t>
      </w:r>
    </w:p>
    <w:p w14:paraId="0A384FA3" w14:textId="60100C0C" w:rsidR="00680ACC" w:rsidRPr="008D72C8" w:rsidRDefault="003B591E" w:rsidP="005E57A0">
      <w:pPr>
        <w:jc w:val="both"/>
        <w:rPr>
          <w:rFonts w:ascii="Times New Roman" w:hAnsi="Times New Roman"/>
          <w:lang w:eastAsia="en-US"/>
        </w:rPr>
      </w:pPr>
      <w:r w:rsidRPr="008D72C8">
        <w:rPr>
          <w:rFonts w:ascii="Times New Roman" w:hAnsi="Times New Roman"/>
          <w:lang w:eastAsia="en-US"/>
        </w:rPr>
        <w:t>8.</w:t>
      </w:r>
      <w:r w:rsidR="002576EA" w:rsidRPr="008D72C8">
        <w:rPr>
          <w:rFonts w:ascii="Times New Roman" w:hAnsi="Times New Roman"/>
          <w:lang w:eastAsia="en-US"/>
        </w:rPr>
        <w:t>1.</w:t>
      </w:r>
      <w:r w:rsidR="000D4ED5" w:rsidRPr="008D72C8">
        <w:rPr>
          <w:rFonts w:ascii="Times New Roman" w:hAnsi="Times New Roman"/>
          <w:lang w:eastAsia="en-US"/>
        </w:rPr>
        <w:t xml:space="preserve"> </w:t>
      </w:r>
      <w:r w:rsidR="00793C54" w:rsidRPr="008D72C8">
        <w:rPr>
          <w:rFonts w:ascii="Times New Roman" w:hAnsi="Times New Roman"/>
          <w:lang w:eastAsia="en-US"/>
        </w:rPr>
        <w:t xml:space="preserve"> Оператор в отдельных случаях, может привлечь третьих лиц для проведения Скоринга, о чем издается приказ Генерального директора, в котором необходимо отразить лицо (лиц) привлекаемое(</w:t>
      </w:r>
      <w:proofErr w:type="spellStart"/>
      <w:r w:rsidR="00793C54" w:rsidRPr="008D72C8">
        <w:rPr>
          <w:rFonts w:ascii="Times New Roman" w:hAnsi="Times New Roman"/>
          <w:lang w:eastAsia="en-US"/>
        </w:rPr>
        <w:t>ых</w:t>
      </w:r>
      <w:proofErr w:type="spellEnd"/>
      <w:r w:rsidR="00793C54" w:rsidRPr="008D72C8">
        <w:rPr>
          <w:rFonts w:ascii="Times New Roman" w:hAnsi="Times New Roman"/>
          <w:lang w:eastAsia="en-US"/>
        </w:rPr>
        <w:t xml:space="preserve">) для скоринга, срок проверки такого скоринга не должен превышать срок, установленный настоящим регламентом. </w:t>
      </w:r>
      <w:bookmarkStart w:id="6" w:name="_Hlk154668757"/>
    </w:p>
    <w:p w14:paraId="02F31EFA" w14:textId="788883E8" w:rsidR="000C24BD" w:rsidRPr="008D72C8" w:rsidRDefault="000C24BD" w:rsidP="005E57A0">
      <w:pPr>
        <w:jc w:val="both"/>
        <w:rPr>
          <w:rFonts w:ascii="Times New Roman" w:hAnsi="Times New Roman"/>
          <w:lang w:eastAsia="en-US"/>
        </w:rPr>
      </w:pPr>
    </w:p>
    <w:p w14:paraId="28395FAE" w14:textId="77777777" w:rsidR="007961F6" w:rsidRPr="008D72C8" w:rsidRDefault="007961F6" w:rsidP="005E57A0">
      <w:pPr>
        <w:jc w:val="both"/>
        <w:rPr>
          <w:rFonts w:ascii="Times New Roman" w:hAnsi="Times New Roman"/>
          <w:lang w:eastAsia="en-US"/>
        </w:rPr>
      </w:pPr>
      <w:bookmarkStart w:id="7" w:name="_GoBack"/>
      <w:bookmarkEnd w:id="6"/>
      <w:bookmarkEnd w:id="7"/>
    </w:p>
    <w:sectPr w:rsidR="007961F6" w:rsidRPr="008D72C8">
      <w:footerReference w:type="default" r:id="rId8"/>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68DF3" w14:textId="77777777" w:rsidR="009801F0" w:rsidRDefault="009801F0" w:rsidP="00800515">
      <w:pPr>
        <w:spacing w:after="0" w:line="240" w:lineRule="auto"/>
      </w:pPr>
      <w:r>
        <w:separator/>
      </w:r>
    </w:p>
  </w:endnote>
  <w:endnote w:type="continuationSeparator" w:id="0">
    <w:p w14:paraId="74269241" w14:textId="77777777" w:rsidR="009801F0" w:rsidRDefault="009801F0" w:rsidP="0080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5FAF3" w14:textId="77777777" w:rsidR="00F14596" w:rsidRDefault="00F14596">
    <w:pPr>
      <w:pStyle w:val="a8"/>
      <w:jc w:val="right"/>
    </w:pPr>
    <w:r>
      <w:fldChar w:fldCharType="begin"/>
    </w:r>
    <w:r>
      <w:instrText>PAGE   \* MERGEFORMAT</w:instrText>
    </w:r>
    <w:r>
      <w:fldChar w:fldCharType="separate"/>
    </w:r>
    <w:r>
      <w:t>2</w:t>
    </w:r>
    <w:r>
      <w:fldChar w:fldCharType="end"/>
    </w:r>
  </w:p>
  <w:p w14:paraId="797916F0" w14:textId="77777777" w:rsidR="00F14596" w:rsidRDefault="00F145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41D6A" w14:textId="77777777" w:rsidR="009801F0" w:rsidRDefault="009801F0" w:rsidP="00800515">
      <w:pPr>
        <w:spacing w:after="0" w:line="240" w:lineRule="auto"/>
      </w:pPr>
      <w:r>
        <w:separator/>
      </w:r>
    </w:p>
  </w:footnote>
  <w:footnote w:type="continuationSeparator" w:id="0">
    <w:p w14:paraId="617CA8F9" w14:textId="77777777" w:rsidR="009801F0" w:rsidRDefault="009801F0" w:rsidP="00800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7654"/>
    <w:multiLevelType w:val="multilevel"/>
    <w:tmpl w:val="87E611D4"/>
    <w:lvl w:ilvl="0">
      <w:start w:val="1"/>
      <w:numFmt w:val="decimal"/>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 w15:restartNumberingAfterBreak="0">
    <w:nsid w:val="0ED069B2"/>
    <w:multiLevelType w:val="multilevel"/>
    <w:tmpl w:val="D44E6262"/>
    <w:lvl w:ilvl="0">
      <w:start w:val="7"/>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723400F"/>
    <w:multiLevelType w:val="multilevel"/>
    <w:tmpl w:val="9E8A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239E"/>
    <w:multiLevelType w:val="hybridMultilevel"/>
    <w:tmpl w:val="5020384C"/>
    <w:lvl w:ilvl="0" w:tplc="6E7ACA82">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BE5305C"/>
    <w:multiLevelType w:val="multilevel"/>
    <w:tmpl w:val="DE3A0A5A"/>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2C6D000F"/>
    <w:multiLevelType w:val="multilevel"/>
    <w:tmpl w:val="BD1C6E1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 w15:restartNumberingAfterBreak="0">
    <w:nsid w:val="37D53143"/>
    <w:multiLevelType w:val="multilevel"/>
    <w:tmpl w:val="A544C05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color w:val="0070C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20E648F"/>
    <w:multiLevelType w:val="hybridMultilevel"/>
    <w:tmpl w:val="239C871C"/>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DFF0465"/>
    <w:multiLevelType w:val="multilevel"/>
    <w:tmpl w:val="2026D6F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D05A42"/>
    <w:multiLevelType w:val="multilevel"/>
    <w:tmpl w:val="A9442A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26A3F75"/>
    <w:multiLevelType w:val="multilevel"/>
    <w:tmpl w:val="71E4D4E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E595E83"/>
    <w:multiLevelType w:val="multilevel"/>
    <w:tmpl w:val="6CB27914"/>
    <w:lvl w:ilvl="0">
      <w:start w:val="7"/>
      <w:numFmt w:val="decimal"/>
      <w:lvlText w:val="%1."/>
      <w:lvlJc w:val="left"/>
      <w:pPr>
        <w:ind w:left="927" w:hanging="360"/>
      </w:pPr>
      <w:rPr>
        <w:rFonts w:cs="Times New Roman" w:hint="default"/>
        <w:color w:val="0070C0"/>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2" w15:restartNumberingAfterBreak="0">
    <w:nsid w:val="7EB658C1"/>
    <w:multiLevelType w:val="multilevel"/>
    <w:tmpl w:val="EA5088C4"/>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15:restartNumberingAfterBreak="0">
    <w:nsid w:val="7F634496"/>
    <w:multiLevelType w:val="multilevel"/>
    <w:tmpl w:val="24FC400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3"/>
  </w:num>
  <w:num w:numId="3">
    <w:abstractNumId w:val="7"/>
  </w:num>
  <w:num w:numId="4">
    <w:abstractNumId w:val="4"/>
  </w:num>
  <w:num w:numId="5">
    <w:abstractNumId w:val="12"/>
  </w:num>
  <w:num w:numId="6">
    <w:abstractNumId w:val="10"/>
  </w:num>
  <w:num w:numId="7">
    <w:abstractNumId w:val="9"/>
  </w:num>
  <w:num w:numId="8">
    <w:abstractNumId w:val="0"/>
  </w:num>
  <w:num w:numId="9">
    <w:abstractNumId w:val="5"/>
  </w:num>
  <w:num w:numId="10">
    <w:abstractNumId w:val="11"/>
  </w:num>
  <w:num w:numId="11">
    <w:abstractNumId w:val="6"/>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95"/>
    <w:rsid w:val="000018F9"/>
    <w:rsid w:val="00002770"/>
    <w:rsid w:val="000028CB"/>
    <w:rsid w:val="00002C44"/>
    <w:rsid w:val="00005337"/>
    <w:rsid w:val="00012BBF"/>
    <w:rsid w:val="000136C7"/>
    <w:rsid w:val="00022A60"/>
    <w:rsid w:val="00024B68"/>
    <w:rsid w:val="000358AD"/>
    <w:rsid w:val="00036E3A"/>
    <w:rsid w:val="00042F06"/>
    <w:rsid w:val="00043F08"/>
    <w:rsid w:val="00055811"/>
    <w:rsid w:val="00056D14"/>
    <w:rsid w:val="00063A3E"/>
    <w:rsid w:val="00066B12"/>
    <w:rsid w:val="000706D6"/>
    <w:rsid w:val="00072D1C"/>
    <w:rsid w:val="00081341"/>
    <w:rsid w:val="000866D7"/>
    <w:rsid w:val="00090CE8"/>
    <w:rsid w:val="00092F92"/>
    <w:rsid w:val="000943CB"/>
    <w:rsid w:val="000952FC"/>
    <w:rsid w:val="00095AAC"/>
    <w:rsid w:val="000A0007"/>
    <w:rsid w:val="000A254D"/>
    <w:rsid w:val="000A36F4"/>
    <w:rsid w:val="000B5056"/>
    <w:rsid w:val="000B6022"/>
    <w:rsid w:val="000C2485"/>
    <w:rsid w:val="000C24BD"/>
    <w:rsid w:val="000C2974"/>
    <w:rsid w:val="000C3B1A"/>
    <w:rsid w:val="000D1332"/>
    <w:rsid w:val="000D278D"/>
    <w:rsid w:val="000D4ED5"/>
    <w:rsid w:val="000E18A3"/>
    <w:rsid w:val="000E2F71"/>
    <w:rsid w:val="000E6569"/>
    <w:rsid w:val="000E7915"/>
    <w:rsid w:val="000F124C"/>
    <w:rsid w:val="000F475A"/>
    <w:rsid w:val="000F51D9"/>
    <w:rsid w:val="00101FBD"/>
    <w:rsid w:val="00102DFB"/>
    <w:rsid w:val="0010417B"/>
    <w:rsid w:val="0010519D"/>
    <w:rsid w:val="001116A4"/>
    <w:rsid w:val="00111899"/>
    <w:rsid w:val="00114806"/>
    <w:rsid w:val="00124E21"/>
    <w:rsid w:val="00132A00"/>
    <w:rsid w:val="00136134"/>
    <w:rsid w:val="0014363B"/>
    <w:rsid w:val="00146F02"/>
    <w:rsid w:val="00162771"/>
    <w:rsid w:val="00163E5B"/>
    <w:rsid w:val="00167099"/>
    <w:rsid w:val="001677E2"/>
    <w:rsid w:val="00181F8C"/>
    <w:rsid w:val="001827A7"/>
    <w:rsid w:val="00184BC5"/>
    <w:rsid w:val="00192B1C"/>
    <w:rsid w:val="001931AC"/>
    <w:rsid w:val="00195080"/>
    <w:rsid w:val="001A0F9E"/>
    <w:rsid w:val="001A4FDD"/>
    <w:rsid w:val="001A6EC6"/>
    <w:rsid w:val="001B0280"/>
    <w:rsid w:val="001B2A53"/>
    <w:rsid w:val="001B419D"/>
    <w:rsid w:val="001B489F"/>
    <w:rsid w:val="001C1A11"/>
    <w:rsid w:val="001C69D3"/>
    <w:rsid w:val="001D3C13"/>
    <w:rsid w:val="001D7AA8"/>
    <w:rsid w:val="001E2063"/>
    <w:rsid w:val="001E534C"/>
    <w:rsid w:val="001E5FD8"/>
    <w:rsid w:val="001E6A47"/>
    <w:rsid w:val="001F1E7B"/>
    <w:rsid w:val="001F33BB"/>
    <w:rsid w:val="001F5F59"/>
    <w:rsid w:val="00201A72"/>
    <w:rsid w:val="0021109B"/>
    <w:rsid w:val="00216BFD"/>
    <w:rsid w:val="002224CB"/>
    <w:rsid w:val="002231DD"/>
    <w:rsid w:val="00236623"/>
    <w:rsid w:val="00240F0D"/>
    <w:rsid w:val="00243711"/>
    <w:rsid w:val="00245059"/>
    <w:rsid w:val="00247192"/>
    <w:rsid w:val="002479DD"/>
    <w:rsid w:val="002542FB"/>
    <w:rsid w:val="00255BE5"/>
    <w:rsid w:val="002576EA"/>
    <w:rsid w:val="002606A7"/>
    <w:rsid w:val="00262885"/>
    <w:rsid w:val="0026313E"/>
    <w:rsid w:val="00267A69"/>
    <w:rsid w:val="00270BCE"/>
    <w:rsid w:val="00280D75"/>
    <w:rsid w:val="00283F64"/>
    <w:rsid w:val="002A1F75"/>
    <w:rsid w:val="002A24AD"/>
    <w:rsid w:val="002A4C7B"/>
    <w:rsid w:val="002A7302"/>
    <w:rsid w:val="002A7529"/>
    <w:rsid w:val="002A7691"/>
    <w:rsid w:val="002B16AF"/>
    <w:rsid w:val="002B1801"/>
    <w:rsid w:val="002B6F66"/>
    <w:rsid w:val="002D20C5"/>
    <w:rsid w:val="002D3262"/>
    <w:rsid w:val="002D4B16"/>
    <w:rsid w:val="002D61B8"/>
    <w:rsid w:val="002D6496"/>
    <w:rsid w:val="002E4AE9"/>
    <w:rsid w:val="002E52D1"/>
    <w:rsid w:val="0030175D"/>
    <w:rsid w:val="00305822"/>
    <w:rsid w:val="003065A6"/>
    <w:rsid w:val="003130E9"/>
    <w:rsid w:val="0032266C"/>
    <w:rsid w:val="003231CB"/>
    <w:rsid w:val="0032726F"/>
    <w:rsid w:val="00330C2C"/>
    <w:rsid w:val="00331857"/>
    <w:rsid w:val="003327AA"/>
    <w:rsid w:val="0033499B"/>
    <w:rsid w:val="00341573"/>
    <w:rsid w:val="0034278E"/>
    <w:rsid w:val="00345858"/>
    <w:rsid w:val="00345D93"/>
    <w:rsid w:val="00346B50"/>
    <w:rsid w:val="00351B4A"/>
    <w:rsid w:val="00352FBC"/>
    <w:rsid w:val="00353F07"/>
    <w:rsid w:val="00356D65"/>
    <w:rsid w:val="00370277"/>
    <w:rsid w:val="00373D14"/>
    <w:rsid w:val="003759F3"/>
    <w:rsid w:val="003762D9"/>
    <w:rsid w:val="00377DB9"/>
    <w:rsid w:val="00386EEF"/>
    <w:rsid w:val="003A6878"/>
    <w:rsid w:val="003A7B84"/>
    <w:rsid w:val="003B09A0"/>
    <w:rsid w:val="003B1B93"/>
    <w:rsid w:val="003B24B6"/>
    <w:rsid w:val="003B591E"/>
    <w:rsid w:val="003C1175"/>
    <w:rsid w:val="003C2135"/>
    <w:rsid w:val="003C2C95"/>
    <w:rsid w:val="003C2F22"/>
    <w:rsid w:val="003C35DB"/>
    <w:rsid w:val="003C499E"/>
    <w:rsid w:val="003D0956"/>
    <w:rsid w:val="003D654C"/>
    <w:rsid w:val="003E094E"/>
    <w:rsid w:val="003E4F36"/>
    <w:rsid w:val="003E6242"/>
    <w:rsid w:val="003E7BD6"/>
    <w:rsid w:val="003F1329"/>
    <w:rsid w:val="003F3D36"/>
    <w:rsid w:val="003F4B93"/>
    <w:rsid w:val="003F6513"/>
    <w:rsid w:val="00401D5C"/>
    <w:rsid w:val="004106AE"/>
    <w:rsid w:val="00414B3A"/>
    <w:rsid w:val="004258D1"/>
    <w:rsid w:val="00426E52"/>
    <w:rsid w:val="004310A7"/>
    <w:rsid w:val="00431637"/>
    <w:rsid w:val="00432237"/>
    <w:rsid w:val="00437B29"/>
    <w:rsid w:val="00437EF0"/>
    <w:rsid w:val="00440B7B"/>
    <w:rsid w:val="004426A0"/>
    <w:rsid w:val="00442787"/>
    <w:rsid w:val="0045028F"/>
    <w:rsid w:val="00451730"/>
    <w:rsid w:val="004520DB"/>
    <w:rsid w:val="00454AFC"/>
    <w:rsid w:val="00462BE4"/>
    <w:rsid w:val="004656D7"/>
    <w:rsid w:val="00470EC8"/>
    <w:rsid w:val="0047220B"/>
    <w:rsid w:val="004746DB"/>
    <w:rsid w:val="0048071E"/>
    <w:rsid w:val="00480ACB"/>
    <w:rsid w:val="00486106"/>
    <w:rsid w:val="00487121"/>
    <w:rsid w:val="0049458E"/>
    <w:rsid w:val="00496725"/>
    <w:rsid w:val="004A3FDD"/>
    <w:rsid w:val="004A4655"/>
    <w:rsid w:val="004A6538"/>
    <w:rsid w:val="004B0687"/>
    <w:rsid w:val="004C0A60"/>
    <w:rsid w:val="004C1DA9"/>
    <w:rsid w:val="004C553C"/>
    <w:rsid w:val="004C7675"/>
    <w:rsid w:val="004D5915"/>
    <w:rsid w:val="004D5DBC"/>
    <w:rsid w:val="004E0FE9"/>
    <w:rsid w:val="004E34EE"/>
    <w:rsid w:val="004E69B9"/>
    <w:rsid w:val="004F751E"/>
    <w:rsid w:val="00501928"/>
    <w:rsid w:val="00502B4A"/>
    <w:rsid w:val="00507813"/>
    <w:rsid w:val="00512932"/>
    <w:rsid w:val="00513946"/>
    <w:rsid w:val="00515BF0"/>
    <w:rsid w:val="00524FAC"/>
    <w:rsid w:val="00525639"/>
    <w:rsid w:val="0052746E"/>
    <w:rsid w:val="00531893"/>
    <w:rsid w:val="00531F04"/>
    <w:rsid w:val="0053526F"/>
    <w:rsid w:val="0053552D"/>
    <w:rsid w:val="005367FB"/>
    <w:rsid w:val="00540F45"/>
    <w:rsid w:val="0054313A"/>
    <w:rsid w:val="005447D0"/>
    <w:rsid w:val="00550622"/>
    <w:rsid w:val="0055075D"/>
    <w:rsid w:val="005572D4"/>
    <w:rsid w:val="00560703"/>
    <w:rsid w:val="00561E97"/>
    <w:rsid w:val="0056375D"/>
    <w:rsid w:val="0057393D"/>
    <w:rsid w:val="00575495"/>
    <w:rsid w:val="00575A0E"/>
    <w:rsid w:val="00577C78"/>
    <w:rsid w:val="00577D1B"/>
    <w:rsid w:val="00580A55"/>
    <w:rsid w:val="0058401E"/>
    <w:rsid w:val="00587F23"/>
    <w:rsid w:val="005933BD"/>
    <w:rsid w:val="005946D7"/>
    <w:rsid w:val="005A2B41"/>
    <w:rsid w:val="005A337F"/>
    <w:rsid w:val="005A5958"/>
    <w:rsid w:val="005A6F3A"/>
    <w:rsid w:val="005A7ECB"/>
    <w:rsid w:val="005B01EC"/>
    <w:rsid w:val="005B28F2"/>
    <w:rsid w:val="005B6CA1"/>
    <w:rsid w:val="005C1F34"/>
    <w:rsid w:val="005C244B"/>
    <w:rsid w:val="005C56F7"/>
    <w:rsid w:val="005C711D"/>
    <w:rsid w:val="005D3210"/>
    <w:rsid w:val="005D3B47"/>
    <w:rsid w:val="005E04BE"/>
    <w:rsid w:val="005E4F17"/>
    <w:rsid w:val="005E5502"/>
    <w:rsid w:val="005E57A0"/>
    <w:rsid w:val="005E594F"/>
    <w:rsid w:val="005E657D"/>
    <w:rsid w:val="005E78AA"/>
    <w:rsid w:val="005F0CB2"/>
    <w:rsid w:val="005F0FDB"/>
    <w:rsid w:val="005F6389"/>
    <w:rsid w:val="00601172"/>
    <w:rsid w:val="0060386B"/>
    <w:rsid w:val="00604266"/>
    <w:rsid w:val="006110CB"/>
    <w:rsid w:val="0061144A"/>
    <w:rsid w:val="00613A86"/>
    <w:rsid w:val="0062628D"/>
    <w:rsid w:val="00626DCF"/>
    <w:rsid w:val="00633D95"/>
    <w:rsid w:val="00637271"/>
    <w:rsid w:val="0064042B"/>
    <w:rsid w:val="0064249B"/>
    <w:rsid w:val="006443AD"/>
    <w:rsid w:val="00645799"/>
    <w:rsid w:val="0065200E"/>
    <w:rsid w:val="006524A1"/>
    <w:rsid w:val="00661794"/>
    <w:rsid w:val="00665D3E"/>
    <w:rsid w:val="00671D80"/>
    <w:rsid w:val="00676BE6"/>
    <w:rsid w:val="00680ACC"/>
    <w:rsid w:val="00682585"/>
    <w:rsid w:val="00686C6D"/>
    <w:rsid w:val="00691366"/>
    <w:rsid w:val="0069516F"/>
    <w:rsid w:val="0069614B"/>
    <w:rsid w:val="006A0198"/>
    <w:rsid w:val="006A38FD"/>
    <w:rsid w:val="006A517B"/>
    <w:rsid w:val="006B0EBC"/>
    <w:rsid w:val="006B4024"/>
    <w:rsid w:val="006C079E"/>
    <w:rsid w:val="006C1DA8"/>
    <w:rsid w:val="006C42F9"/>
    <w:rsid w:val="006C5829"/>
    <w:rsid w:val="006C5CAB"/>
    <w:rsid w:val="006D0B9C"/>
    <w:rsid w:val="006D3483"/>
    <w:rsid w:val="006E0122"/>
    <w:rsid w:val="006E0761"/>
    <w:rsid w:val="006E43F9"/>
    <w:rsid w:val="006E5944"/>
    <w:rsid w:val="006E7BC0"/>
    <w:rsid w:val="006F2904"/>
    <w:rsid w:val="006F34C8"/>
    <w:rsid w:val="006F34E5"/>
    <w:rsid w:val="006F3AB2"/>
    <w:rsid w:val="00703C2E"/>
    <w:rsid w:val="00711F5A"/>
    <w:rsid w:val="00711FD3"/>
    <w:rsid w:val="00717AC3"/>
    <w:rsid w:val="00726303"/>
    <w:rsid w:val="00731A69"/>
    <w:rsid w:val="00732427"/>
    <w:rsid w:val="00734179"/>
    <w:rsid w:val="00734488"/>
    <w:rsid w:val="00737F48"/>
    <w:rsid w:val="0074196A"/>
    <w:rsid w:val="00745288"/>
    <w:rsid w:val="007455D2"/>
    <w:rsid w:val="00753400"/>
    <w:rsid w:val="00755A28"/>
    <w:rsid w:val="007617A5"/>
    <w:rsid w:val="00765ECD"/>
    <w:rsid w:val="0077005F"/>
    <w:rsid w:val="0077156F"/>
    <w:rsid w:val="007723B7"/>
    <w:rsid w:val="0077392F"/>
    <w:rsid w:val="007752E5"/>
    <w:rsid w:val="00781CE0"/>
    <w:rsid w:val="00793C54"/>
    <w:rsid w:val="0079465C"/>
    <w:rsid w:val="007961F6"/>
    <w:rsid w:val="007A493B"/>
    <w:rsid w:val="007A4A4E"/>
    <w:rsid w:val="007B4B9B"/>
    <w:rsid w:val="007C1BA5"/>
    <w:rsid w:val="007D2A34"/>
    <w:rsid w:val="007D37AE"/>
    <w:rsid w:val="007E0584"/>
    <w:rsid w:val="007E16E4"/>
    <w:rsid w:val="007E21FE"/>
    <w:rsid w:val="007E52B3"/>
    <w:rsid w:val="007F1590"/>
    <w:rsid w:val="007F2A82"/>
    <w:rsid w:val="007F5481"/>
    <w:rsid w:val="00800515"/>
    <w:rsid w:val="00802D09"/>
    <w:rsid w:val="008043C0"/>
    <w:rsid w:val="008060A4"/>
    <w:rsid w:val="0081210F"/>
    <w:rsid w:val="0081668E"/>
    <w:rsid w:val="00817E73"/>
    <w:rsid w:val="00821AC4"/>
    <w:rsid w:val="008302C1"/>
    <w:rsid w:val="00831DC0"/>
    <w:rsid w:val="008343B9"/>
    <w:rsid w:val="00845CE5"/>
    <w:rsid w:val="00857287"/>
    <w:rsid w:val="0085732D"/>
    <w:rsid w:val="00866255"/>
    <w:rsid w:val="008672DA"/>
    <w:rsid w:val="00871DDD"/>
    <w:rsid w:val="00875770"/>
    <w:rsid w:val="00877A22"/>
    <w:rsid w:val="0088118B"/>
    <w:rsid w:val="00885226"/>
    <w:rsid w:val="00891E22"/>
    <w:rsid w:val="00892C38"/>
    <w:rsid w:val="00893677"/>
    <w:rsid w:val="008955C9"/>
    <w:rsid w:val="00896AE1"/>
    <w:rsid w:val="008A285A"/>
    <w:rsid w:val="008A5B58"/>
    <w:rsid w:val="008B261C"/>
    <w:rsid w:val="008C1004"/>
    <w:rsid w:val="008C1022"/>
    <w:rsid w:val="008C55BE"/>
    <w:rsid w:val="008C6538"/>
    <w:rsid w:val="008C7835"/>
    <w:rsid w:val="008D72C8"/>
    <w:rsid w:val="008D7AA2"/>
    <w:rsid w:val="008E3167"/>
    <w:rsid w:val="008F1508"/>
    <w:rsid w:val="008F5463"/>
    <w:rsid w:val="008F6F24"/>
    <w:rsid w:val="00900A12"/>
    <w:rsid w:val="00902269"/>
    <w:rsid w:val="0091265E"/>
    <w:rsid w:val="00916F40"/>
    <w:rsid w:val="009232A5"/>
    <w:rsid w:val="00924E3B"/>
    <w:rsid w:val="009276B0"/>
    <w:rsid w:val="0093520B"/>
    <w:rsid w:val="009361BE"/>
    <w:rsid w:val="009403F3"/>
    <w:rsid w:val="00940F00"/>
    <w:rsid w:val="009412E0"/>
    <w:rsid w:val="00942EDF"/>
    <w:rsid w:val="00943D04"/>
    <w:rsid w:val="009445E5"/>
    <w:rsid w:val="00946F06"/>
    <w:rsid w:val="009470E6"/>
    <w:rsid w:val="009519EC"/>
    <w:rsid w:val="00951A77"/>
    <w:rsid w:val="00957F01"/>
    <w:rsid w:val="00960D15"/>
    <w:rsid w:val="00961626"/>
    <w:rsid w:val="00964C6A"/>
    <w:rsid w:val="00976CB0"/>
    <w:rsid w:val="009801F0"/>
    <w:rsid w:val="0098381B"/>
    <w:rsid w:val="00994FB2"/>
    <w:rsid w:val="00997018"/>
    <w:rsid w:val="009A2A1F"/>
    <w:rsid w:val="009A3DEF"/>
    <w:rsid w:val="009A42A7"/>
    <w:rsid w:val="009B37EB"/>
    <w:rsid w:val="009B3C54"/>
    <w:rsid w:val="009B61AA"/>
    <w:rsid w:val="009C143A"/>
    <w:rsid w:val="009C3085"/>
    <w:rsid w:val="009D01C4"/>
    <w:rsid w:val="009D39B7"/>
    <w:rsid w:val="009D3B52"/>
    <w:rsid w:val="009D5537"/>
    <w:rsid w:val="009D7D5E"/>
    <w:rsid w:val="009E2AA9"/>
    <w:rsid w:val="009E37B3"/>
    <w:rsid w:val="009E4E22"/>
    <w:rsid w:val="009F14E2"/>
    <w:rsid w:val="00A0568A"/>
    <w:rsid w:val="00A06C3D"/>
    <w:rsid w:val="00A11170"/>
    <w:rsid w:val="00A12184"/>
    <w:rsid w:val="00A244BE"/>
    <w:rsid w:val="00A269D2"/>
    <w:rsid w:val="00A37441"/>
    <w:rsid w:val="00A37C71"/>
    <w:rsid w:val="00A41807"/>
    <w:rsid w:val="00A419DF"/>
    <w:rsid w:val="00A42B6C"/>
    <w:rsid w:val="00A4391F"/>
    <w:rsid w:val="00A502EA"/>
    <w:rsid w:val="00A50D91"/>
    <w:rsid w:val="00A51970"/>
    <w:rsid w:val="00A546EA"/>
    <w:rsid w:val="00A54763"/>
    <w:rsid w:val="00A62EF3"/>
    <w:rsid w:val="00A64836"/>
    <w:rsid w:val="00A66BDA"/>
    <w:rsid w:val="00A73199"/>
    <w:rsid w:val="00A75747"/>
    <w:rsid w:val="00A75ED6"/>
    <w:rsid w:val="00A77380"/>
    <w:rsid w:val="00A77E0C"/>
    <w:rsid w:val="00A83EC5"/>
    <w:rsid w:val="00A862C2"/>
    <w:rsid w:val="00A91554"/>
    <w:rsid w:val="00A92F19"/>
    <w:rsid w:val="00A967DE"/>
    <w:rsid w:val="00A969FC"/>
    <w:rsid w:val="00AA1F42"/>
    <w:rsid w:val="00AB2050"/>
    <w:rsid w:val="00AB6707"/>
    <w:rsid w:val="00AC30CB"/>
    <w:rsid w:val="00AC39AE"/>
    <w:rsid w:val="00AC5664"/>
    <w:rsid w:val="00AD18B3"/>
    <w:rsid w:val="00AD23AA"/>
    <w:rsid w:val="00AD5E5F"/>
    <w:rsid w:val="00AD6ECD"/>
    <w:rsid w:val="00AE3906"/>
    <w:rsid w:val="00AF20E5"/>
    <w:rsid w:val="00AF7C67"/>
    <w:rsid w:val="00B11DE2"/>
    <w:rsid w:val="00B21CF2"/>
    <w:rsid w:val="00B338D0"/>
    <w:rsid w:val="00B34521"/>
    <w:rsid w:val="00B41F41"/>
    <w:rsid w:val="00B43284"/>
    <w:rsid w:val="00B445CA"/>
    <w:rsid w:val="00B530AB"/>
    <w:rsid w:val="00B53EAA"/>
    <w:rsid w:val="00B56383"/>
    <w:rsid w:val="00B603FD"/>
    <w:rsid w:val="00B625A6"/>
    <w:rsid w:val="00B62C38"/>
    <w:rsid w:val="00B62C91"/>
    <w:rsid w:val="00B6349C"/>
    <w:rsid w:val="00B669BD"/>
    <w:rsid w:val="00B750BD"/>
    <w:rsid w:val="00B75CCA"/>
    <w:rsid w:val="00B8255E"/>
    <w:rsid w:val="00B90381"/>
    <w:rsid w:val="00B941DC"/>
    <w:rsid w:val="00B95877"/>
    <w:rsid w:val="00B964CA"/>
    <w:rsid w:val="00B97EC2"/>
    <w:rsid w:val="00BA246B"/>
    <w:rsid w:val="00BA31CD"/>
    <w:rsid w:val="00BA4AEE"/>
    <w:rsid w:val="00BB40D1"/>
    <w:rsid w:val="00BB77F4"/>
    <w:rsid w:val="00BC1948"/>
    <w:rsid w:val="00BC3901"/>
    <w:rsid w:val="00BC477F"/>
    <w:rsid w:val="00BC4B0C"/>
    <w:rsid w:val="00BC59EB"/>
    <w:rsid w:val="00BD32B1"/>
    <w:rsid w:val="00BD7418"/>
    <w:rsid w:val="00BE2319"/>
    <w:rsid w:val="00BF0A01"/>
    <w:rsid w:val="00BF414D"/>
    <w:rsid w:val="00BF5016"/>
    <w:rsid w:val="00BF6E14"/>
    <w:rsid w:val="00BF7B2D"/>
    <w:rsid w:val="00C022BF"/>
    <w:rsid w:val="00C03A80"/>
    <w:rsid w:val="00C04445"/>
    <w:rsid w:val="00C1068F"/>
    <w:rsid w:val="00C13C41"/>
    <w:rsid w:val="00C160A5"/>
    <w:rsid w:val="00C22D4D"/>
    <w:rsid w:val="00C2312C"/>
    <w:rsid w:val="00C23781"/>
    <w:rsid w:val="00C272CA"/>
    <w:rsid w:val="00C273FD"/>
    <w:rsid w:val="00C31374"/>
    <w:rsid w:val="00C31D65"/>
    <w:rsid w:val="00C3216D"/>
    <w:rsid w:val="00C51E3A"/>
    <w:rsid w:val="00C57D53"/>
    <w:rsid w:val="00C613C3"/>
    <w:rsid w:val="00C6211C"/>
    <w:rsid w:val="00C64440"/>
    <w:rsid w:val="00C744ED"/>
    <w:rsid w:val="00C82812"/>
    <w:rsid w:val="00C845C6"/>
    <w:rsid w:val="00C9674B"/>
    <w:rsid w:val="00CA1288"/>
    <w:rsid w:val="00CA2056"/>
    <w:rsid w:val="00CA3FB5"/>
    <w:rsid w:val="00CA4B72"/>
    <w:rsid w:val="00CB3882"/>
    <w:rsid w:val="00CB495A"/>
    <w:rsid w:val="00CB70CF"/>
    <w:rsid w:val="00CC5D72"/>
    <w:rsid w:val="00CE1569"/>
    <w:rsid w:val="00CE4326"/>
    <w:rsid w:val="00CE4650"/>
    <w:rsid w:val="00CF2835"/>
    <w:rsid w:val="00CF735F"/>
    <w:rsid w:val="00D0595B"/>
    <w:rsid w:val="00D07FFA"/>
    <w:rsid w:val="00D12B37"/>
    <w:rsid w:val="00D162E4"/>
    <w:rsid w:val="00D16432"/>
    <w:rsid w:val="00D210A5"/>
    <w:rsid w:val="00D2331F"/>
    <w:rsid w:val="00D26607"/>
    <w:rsid w:val="00D27F20"/>
    <w:rsid w:val="00D3229F"/>
    <w:rsid w:val="00D32B61"/>
    <w:rsid w:val="00D35192"/>
    <w:rsid w:val="00D3679F"/>
    <w:rsid w:val="00D41A9F"/>
    <w:rsid w:val="00D447CB"/>
    <w:rsid w:val="00D44A5D"/>
    <w:rsid w:val="00D454A4"/>
    <w:rsid w:val="00D52A12"/>
    <w:rsid w:val="00D556C3"/>
    <w:rsid w:val="00D62CC8"/>
    <w:rsid w:val="00D7047E"/>
    <w:rsid w:val="00D74C0A"/>
    <w:rsid w:val="00D75CBC"/>
    <w:rsid w:val="00D81327"/>
    <w:rsid w:val="00D8627A"/>
    <w:rsid w:val="00D95840"/>
    <w:rsid w:val="00D96341"/>
    <w:rsid w:val="00DA15FB"/>
    <w:rsid w:val="00DA3D6F"/>
    <w:rsid w:val="00DB0016"/>
    <w:rsid w:val="00DB1F3A"/>
    <w:rsid w:val="00DB6C11"/>
    <w:rsid w:val="00DC2821"/>
    <w:rsid w:val="00DC6141"/>
    <w:rsid w:val="00DC702E"/>
    <w:rsid w:val="00DD3DC0"/>
    <w:rsid w:val="00DD4677"/>
    <w:rsid w:val="00DD4F23"/>
    <w:rsid w:val="00DD525C"/>
    <w:rsid w:val="00DD71C5"/>
    <w:rsid w:val="00DE05D7"/>
    <w:rsid w:val="00DE53FA"/>
    <w:rsid w:val="00DF0FF3"/>
    <w:rsid w:val="00DF15D7"/>
    <w:rsid w:val="00E00C2A"/>
    <w:rsid w:val="00E017FE"/>
    <w:rsid w:val="00E0368F"/>
    <w:rsid w:val="00E04235"/>
    <w:rsid w:val="00E04638"/>
    <w:rsid w:val="00E059E9"/>
    <w:rsid w:val="00E111B2"/>
    <w:rsid w:val="00E116B8"/>
    <w:rsid w:val="00E11E30"/>
    <w:rsid w:val="00E16E55"/>
    <w:rsid w:val="00E21723"/>
    <w:rsid w:val="00E23232"/>
    <w:rsid w:val="00E24C95"/>
    <w:rsid w:val="00E4072F"/>
    <w:rsid w:val="00E40FA6"/>
    <w:rsid w:val="00E4112A"/>
    <w:rsid w:val="00E45B30"/>
    <w:rsid w:val="00E46E5C"/>
    <w:rsid w:val="00E545E9"/>
    <w:rsid w:val="00E54660"/>
    <w:rsid w:val="00E60B99"/>
    <w:rsid w:val="00E631E0"/>
    <w:rsid w:val="00E66B14"/>
    <w:rsid w:val="00E66D20"/>
    <w:rsid w:val="00E73428"/>
    <w:rsid w:val="00E76256"/>
    <w:rsid w:val="00E85654"/>
    <w:rsid w:val="00E86278"/>
    <w:rsid w:val="00E86ECF"/>
    <w:rsid w:val="00E87453"/>
    <w:rsid w:val="00E92BF0"/>
    <w:rsid w:val="00EA2B89"/>
    <w:rsid w:val="00EA4D73"/>
    <w:rsid w:val="00EB5396"/>
    <w:rsid w:val="00EC142E"/>
    <w:rsid w:val="00EC1E03"/>
    <w:rsid w:val="00EC3BB9"/>
    <w:rsid w:val="00EC53F2"/>
    <w:rsid w:val="00ED3049"/>
    <w:rsid w:val="00ED41AD"/>
    <w:rsid w:val="00ED5969"/>
    <w:rsid w:val="00EE0EEC"/>
    <w:rsid w:val="00EF16F7"/>
    <w:rsid w:val="00EF1D38"/>
    <w:rsid w:val="00EF3A58"/>
    <w:rsid w:val="00F02913"/>
    <w:rsid w:val="00F04BB5"/>
    <w:rsid w:val="00F05358"/>
    <w:rsid w:val="00F05BCB"/>
    <w:rsid w:val="00F05E20"/>
    <w:rsid w:val="00F10BAE"/>
    <w:rsid w:val="00F14596"/>
    <w:rsid w:val="00F150AA"/>
    <w:rsid w:val="00F16A01"/>
    <w:rsid w:val="00F17193"/>
    <w:rsid w:val="00F2396C"/>
    <w:rsid w:val="00F23F0D"/>
    <w:rsid w:val="00F27B54"/>
    <w:rsid w:val="00F31650"/>
    <w:rsid w:val="00F334EF"/>
    <w:rsid w:val="00F34849"/>
    <w:rsid w:val="00F36687"/>
    <w:rsid w:val="00F37E12"/>
    <w:rsid w:val="00F41DE0"/>
    <w:rsid w:val="00F44280"/>
    <w:rsid w:val="00F53D41"/>
    <w:rsid w:val="00F54CAC"/>
    <w:rsid w:val="00F555FA"/>
    <w:rsid w:val="00F712AE"/>
    <w:rsid w:val="00F74F49"/>
    <w:rsid w:val="00F752A6"/>
    <w:rsid w:val="00F7667F"/>
    <w:rsid w:val="00F80B82"/>
    <w:rsid w:val="00F84760"/>
    <w:rsid w:val="00F8565D"/>
    <w:rsid w:val="00F977F0"/>
    <w:rsid w:val="00FA0812"/>
    <w:rsid w:val="00FA196E"/>
    <w:rsid w:val="00FA1F37"/>
    <w:rsid w:val="00FA36E3"/>
    <w:rsid w:val="00FA3FC6"/>
    <w:rsid w:val="00FA601B"/>
    <w:rsid w:val="00FA67CD"/>
    <w:rsid w:val="00FA7455"/>
    <w:rsid w:val="00FA77BA"/>
    <w:rsid w:val="00FB6CF6"/>
    <w:rsid w:val="00FC2852"/>
    <w:rsid w:val="00FC4485"/>
    <w:rsid w:val="00FC7229"/>
    <w:rsid w:val="00FD1041"/>
    <w:rsid w:val="00FD2B8D"/>
    <w:rsid w:val="00FE54C5"/>
    <w:rsid w:val="00FE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51A23"/>
  <w14:defaultImageDpi w14:val="0"/>
  <w15:docId w15:val="{283C79C0-DA03-4A67-9E9C-263B68BC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95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59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BC59EB"/>
    <w:rPr>
      <w:rFonts w:ascii="Segoe UI" w:hAnsi="Segoe UI" w:cs="Segoe UI"/>
      <w:sz w:val="18"/>
      <w:szCs w:val="18"/>
    </w:rPr>
  </w:style>
  <w:style w:type="paragraph" w:styleId="a6">
    <w:name w:val="header"/>
    <w:basedOn w:val="a"/>
    <w:link w:val="a7"/>
    <w:uiPriority w:val="99"/>
    <w:unhideWhenUsed/>
    <w:rsid w:val="00800515"/>
    <w:pPr>
      <w:tabs>
        <w:tab w:val="center" w:pos="4677"/>
        <w:tab w:val="right" w:pos="9355"/>
      </w:tabs>
    </w:pPr>
  </w:style>
  <w:style w:type="character" w:customStyle="1" w:styleId="a7">
    <w:name w:val="Верхний колонтитул Знак"/>
    <w:basedOn w:val="a0"/>
    <w:link w:val="a6"/>
    <w:uiPriority w:val="99"/>
    <w:locked/>
    <w:rsid w:val="00800515"/>
    <w:rPr>
      <w:rFonts w:cs="Times New Roman"/>
    </w:rPr>
  </w:style>
  <w:style w:type="paragraph" w:styleId="a8">
    <w:name w:val="footer"/>
    <w:basedOn w:val="a"/>
    <w:link w:val="a9"/>
    <w:uiPriority w:val="99"/>
    <w:unhideWhenUsed/>
    <w:rsid w:val="00800515"/>
    <w:pPr>
      <w:tabs>
        <w:tab w:val="center" w:pos="4677"/>
        <w:tab w:val="right" w:pos="9355"/>
      </w:tabs>
    </w:pPr>
  </w:style>
  <w:style w:type="character" w:customStyle="1" w:styleId="a9">
    <w:name w:val="Нижний колонтитул Знак"/>
    <w:basedOn w:val="a0"/>
    <w:link w:val="a8"/>
    <w:uiPriority w:val="99"/>
    <w:locked/>
    <w:rsid w:val="00800515"/>
    <w:rPr>
      <w:rFonts w:cs="Times New Roman"/>
    </w:rPr>
  </w:style>
  <w:style w:type="table" w:customStyle="1" w:styleId="1">
    <w:name w:val="Сетка таблицы1"/>
    <w:basedOn w:val="a1"/>
    <w:rsid w:val="00DD3DC0"/>
    <w:pPr>
      <w:spacing w:after="0" w:line="240" w:lineRule="auto"/>
    </w:pPr>
    <w:rPr>
      <w:rFonts w:ascii="Times New Roman" w:hAnsi="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39"/>
    <w:rsid w:val="00665D3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4520D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F6F24"/>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6F24"/>
    <w:pPr>
      <w:widowControl w:val="0"/>
      <w:autoSpaceDE w:val="0"/>
      <w:autoSpaceDN w:val="0"/>
      <w:spacing w:after="0" w:line="240" w:lineRule="auto"/>
    </w:pPr>
    <w:rPr>
      <w:rFonts w:ascii="Arial" w:hAnsi="Arial" w:cs="Arial"/>
      <w:lang w:eastAsia="en-US"/>
    </w:rPr>
  </w:style>
  <w:style w:type="paragraph" w:styleId="aa">
    <w:name w:val="List Paragraph"/>
    <w:basedOn w:val="a"/>
    <w:uiPriority w:val="34"/>
    <w:qFormat/>
    <w:rsid w:val="00550622"/>
    <w:pPr>
      <w:ind w:left="720"/>
      <w:contextualSpacing/>
    </w:pPr>
  </w:style>
  <w:style w:type="character" w:styleId="ab">
    <w:name w:val="Hyperlink"/>
    <w:basedOn w:val="a0"/>
    <w:uiPriority w:val="99"/>
    <w:unhideWhenUsed/>
    <w:rsid w:val="002542FB"/>
    <w:rPr>
      <w:color w:val="0563C1"/>
      <w:u w:val="single"/>
    </w:rPr>
  </w:style>
  <w:style w:type="character" w:styleId="ac">
    <w:name w:val="Unresolved Mention"/>
    <w:basedOn w:val="a0"/>
    <w:uiPriority w:val="99"/>
    <w:semiHidden/>
    <w:unhideWhenUsed/>
    <w:rsid w:val="0058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6488">
      <w:marLeft w:val="0"/>
      <w:marRight w:val="0"/>
      <w:marTop w:val="0"/>
      <w:marBottom w:val="0"/>
      <w:divBdr>
        <w:top w:val="none" w:sz="0" w:space="0" w:color="auto"/>
        <w:left w:val="none" w:sz="0" w:space="0" w:color="auto"/>
        <w:bottom w:val="none" w:sz="0" w:space="0" w:color="auto"/>
        <w:right w:val="none" w:sz="0" w:space="0" w:color="auto"/>
      </w:divBdr>
    </w:div>
    <w:div w:id="87386489">
      <w:marLeft w:val="0"/>
      <w:marRight w:val="0"/>
      <w:marTop w:val="0"/>
      <w:marBottom w:val="0"/>
      <w:divBdr>
        <w:top w:val="none" w:sz="0" w:space="0" w:color="auto"/>
        <w:left w:val="none" w:sz="0" w:space="0" w:color="auto"/>
        <w:bottom w:val="none" w:sz="0" w:space="0" w:color="auto"/>
        <w:right w:val="none" w:sz="0" w:space="0" w:color="auto"/>
      </w:divBdr>
    </w:div>
    <w:div w:id="87386490">
      <w:marLeft w:val="0"/>
      <w:marRight w:val="0"/>
      <w:marTop w:val="0"/>
      <w:marBottom w:val="0"/>
      <w:divBdr>
        <w:top w:val="none" w:sz="0" w:space="0" w:color="auto"/>
        <w:left w:val="none" w:sz="0" w:space="0" w:color="auto"/>
        <w:bottom w:val="none" w:sz="0" w:space="0" w:color="auto"/>
        <w:right w:val="none" w:sz="0" w:space="0" w:color="auto"/>
      </w:divBdr>
    </w:div>
    <w:div w:id="87386497">
      <w:marLeft w:val="0"/>
      <w:marRight w:val="0"/>
      <w:marTop w:val="0"/>
      <w:marBottom w:val="0"/>
      <w:divBdr>
        <w:top w:val="none" w:sz="0" w:space="0" w:color="auto"/>
        <w:left w:val="none" w:sz="0" w:space="0" w:color="auto"/>
        <w:bottom w:val="none" w:sz="0" w:space="0" w:color="auto"/>
        <w:right w:val="none" w:sz="0" w:space="0" w:color="auto"/>
      </w:divBdr>
      <w:divsChild>
        <w:div w:id="87386499">
          <w:marLeft w:val="240"/>
          <w:marRight w:val="240"/>
          <w:marTop w:val="240"/>
          <w:marBottom w:val="240"/>
          <w:divBdr>
            <w:top w:val="none" w:sz="0" w:space="0" w:color="auto"/>
            <w:left w:val="none" w:sz="0" w:space="0" w:color="auto"/>
            <w:bottom w:val="none" w:sz="0" w:space="0" w:color="auto"/>
            <w:right w:val="none" w:sz="0" w:space="0" w:color="auto"/>
          </w:divBdr>
        </w:div>
        <w:div w:id="87386506">
          <w:marLeft w:val="240"/>
          <w:marRight w:val="240"/>
          <w:marTop w:val="240"/>
          <w:marBottom w:val="240"/>
          <w:divBdr>
            <w:top w:val="none" w:sz="0" w:space="0" w:color="auto"/>
            <w:left w:val="none" w:sz="0" w:space="0" w:color="auto"/>
            <w:bottom w:val="none" w:sz="0" w:space="0" w:color="auto"/>
            <w:right w:val="none" w:sz="0" w:space="0" w:color="auto"/>
          </w:divBdr>
        </w:div>
      </w:divsChild>
    </w:div>
    <w:div w:id="87386498">
      <w:marLeft w:val="0"/>
      <w:marRight w:val="0"/>
      <w:marTop w:val="0"/>
      <w:marBottom w:val="0"/>
      <w:divBdr>
        <w:top w:val="none" w:sz="0" w:space="0" w:color="auto"/>
        <w:left w:val="none" w:sz="0" w:space="0" w:color="auto"/>
        <w:bottom w:val="none" w:sz="0" w:space="0" w:color="auto"/>
        <w:right w:val="none" w:sz="0" w:space="0" w:color="auto"/>
      </w:divBdr>
      <w:divsChild>
        <w:div w:id="87386491">
          <w:marLeft w:val="0"/>
          <w:marRight w:val="0"/>
          <w:marTop w:val="0"/>
          <w:marBottom w:val="0"/>
          <w:divBdr>
            <w:top w:val="none" w:sz="0" w:space="0" w:color="auto"/>
            <w:left w:val="none" w:sz="0" w:space="0" w:color="auto"/>
            <w:bottom w:val="none" w:sz="0" w:space="0" w:color="auto"/>
            <w:right w:val="none" w:sz="0" w:space="0" w:color="auto"/>
          </w:divBdr>
        </w:div>
        <w:div w:id="87386493">
          <w:marLeft w:val="0"/>
          <w:marRight w:val="0"/>
          <w:marTop w:val="120"/>
          <w:marBottom w:val="0"/>
          <w:divBdr>
            <w:top w:val="none" w:sz="0" w:space="0" w:color="auto"/>
            <w:left w:val="none" w:sz="0" w:space="0" w:color="auto"/>
            <w:bottom w:val="none" w:sz="0" w:space="0" w:color="auto"/>
            <w:right w:val="none" w:sz="0" w:space="0" w:color="auto"/>
          </w:divBdr>
        </w:div>
        <w:div w:id="87386500">
          <w:marLeft w:val="0"/>
          <w:marRight w:val="0"/>
          <w:marTop w:val="120"/>
          <w:marBottom w:val="0"/>
          <w:divBdr>
            <w:top w:val="none" w:sz="0" w:space="0" w:color="auto"/>
            <w:left w:val="none" w:sz="0" w:space="0" w:color="auto"/>
            <w:bottom w:val="none" w:sz="0" w:space="0" w:color="auto"/>
            <w:right w:val="none" w:sz="0" w:space="0" w:color="auto"/>
          </w:divBdr>
        </w:div>
      </w:divsChild>
    </w:div>
    <w:div w:id="87386501">
      <w:marLeft w:val="0"/>
      <w:marRight w:val="0"/>
      <w:marTop w:val="0"/>
      <w:marBottom w:val="0"/>
      <w:divBdr>
        <w:top w:val="none" w:sz="0" w:space="0" w:color="auto"/>
        <w:left w:val="none" w:sz="0" w:space="0" w:color="auto"/>
        <w:bottom w:val="none" w:sz="0" w:space="0" w:color="auto"/>
        <w:right w:val="none" w:sz="0" w:space="0" w:color="auto"/>
      </w:divBdr>
    </w:div>
    <w:div w:id="87386502">
      <w:marLeft w:val="0"/>
      <w:marRight w:val="0"/>
      <w:marTop w:val="0"/>
      <w:marBottom w:val="0"/>
      <w:divBdr>
        <w:top w:val="none" w:sz="0" w:space="0" w:color="auto"/>
        <w:left w:val="none" w:sz="0" w:space="0" w:color="auto"/>
        <w:bottom w:val="none" w:sz="0" w:space="0" w:color="auto"/>
        <w:right w:val="none" w:sz="0" w:space="0" w:color="auto"/>
      </w:divBdr>
    </w:div>
    <w:div w:id="87386503">
      <w:marLeft w:val="0"/>
      <w:marRight w:val="0"/>
      <w:marTop w:val="0"/>
      <w:marBottom w:val="0"/>
      <w:divBdr>
        <w:top w:val="none" w:sz="0" w:space="0" w:color="auto"/>
        <w:left w:val="none" w:sz="0" w:space="0" w:color="auto"/>
        <w:bottom w:val="none" w:sz="0" w:space="0" w:color="auto"/>
        <w:right w:val="none" w:sz="0" w:space="0" w:color="auto"/>
      </w:divBdr>
    </w:div>
    <w:div w:id="87386504">
      <w:marLeft w:val="0"/>
      <w:marRight w:val="0"/>
      <w:marTop w:val="0"/>
      <w:marBottom w:val="0"/>
      <w:divBdr>
        <w:top w:val="none" w:sz="0" w:space="0" w:color="auto"/>
        <w:left w:val="none" w:sz="0" w:space="0" w:color="auto"/>
        <w:bottom w:val="none" w:sz="0" w:space="0" w:color="auto"/>
        <w:right w:val="none" w:sz="0" w:space="0" w:color="auto"/>
      </w:divBdr>
    </w:div>
    <w:div w:id="87386505">
      <w:marLeft w:val="0"/>
      <w:marRight w:val="0"/>
      <w:marTop w:val="0"/>
      <w:marBottom w:val="0"/>
      <w:divBdr>
        <w:top w:val="none" w:sz="0" w:space="0" w:color="auto"/>
        <w:left w:val="none" w:sz="0" w:space="0" w:color="auto"/>
        <w:bottom w:val="none" w:sz="0" w:space="0" w:color="auto"/>
        <w:right w:val="none" w:sz="0" w:space="0" w:color="auto"/>
      </w:divBdr>
      <w:divsChild>
        <w:div w:id="87386494">
          <w:marLeft w:val="240"/>
          <w:marRight w:val="240"/>
          <w:marTop w:val="240"/>
          <w:marBottom w:val="240"/>
          <w:divBdr>
            <w:top w:val="none" w:sz="0" w:space="0" w:color="auto"/>
            <w:left w:val="none" w:sz="0" w:space="0" w:color="auto"/>
            <w:bottom w:val="none" w:sz="0" w:space="0" w:color="auto"/>
            <w:right w:val="none" w:sz="0" w:space="0" w:color="auto"/>
          </w:divBdr>
        </w:div>
        <w:div w:id="87386508">
          <w:marLeft w:val="240"/>
          <w:marRight w:val="240"/>
          <w:marTop w:val="240"/>
          <w:marBottom w:val="240"/>
          <w:divBdr>
            <w:top w:val="none" w:sz="0" w:space="0" w:color="auto"/>
            <w:left w:val="none" w:sz="0" w:space="0" w:color="auto"/>
            <w:bottom w:val="none" w:sz="0" w:space="0" w:color="auto"/>
            <w:right w:val="none" w:sz="0" w:space="0" w:color="auto"/>
          </w:divBdr>
        </w:div>
      </w:divsChild>
    </w:div>
    <w:div w:id="87386507">
      <w:marLeft w:val="0"/>
      <w:marRight w:val="0"/>
      <w:marTop w:val="0"/>
      <w:marBottom w:val="0"/>
      <w:divBdr>
        <w:top w:val="none" w:sz="0" w:space="0" w:color="auto"/>
        <w:left w:val="none" w:sz="0" w:space="0" w:color="auto"/>
        <w:bottom w:val="none" w:sz="0" w:space="0" w:color="auto"/>
        <w:right w:val="none" w:sz="0" w:space="0" w:color="auto"/>
      </w:divBdr>
      <w:divsChild>
        <w:div w:id="87386492">
          <w:marLeft w:val="0"/>
          <w:marRight w:val="0"/>
          <w:marTop w:val="120"/>
          <w:marBottom w:val="0"/>
          <w:divBdr>
            <w:top w:val="none" w:sz="0" w:space="0" w:color="auto"/>
            <w:left w:val="none" w:sz="0" w:space="0" w:color="auto"/>
            <w:bottom w:val="none" w:sz="0" w:space="0" w:color="auto"/>
            <w:right w:val="none" w:sz="0" w:space="0" w:color="auto"/>
          </w:divBdr>
        </w:div>
        <w:div w:id="87386495">
          <w:marLeft w:val="0"/>
          <w:marRight w:val="0"/>
          <w:marTop w:val="120"/>
          <w:marBottom w:val="0"/>
          <w:divBdr>
            <w:top w:val="none" w:sz="0" w:space="0" w:color="auto"/>
            <w:left w:val="none" w:sz="0" w:space="0" w:color="auto"/>
            <w:bottom w:val="none" w:sz="0" w:space="0" w:color="auto"/>
            <w:right w:val="none" w:sz="0" w:space="0" w:color="auto"/>
          </w:divBdr>
        </w:div>
        <w:div w:id="87386496">
          <w:marLeft w:val="0"/>
          <w:marRight w:val="0"/>
          <w:marTop w:val="0"/>
          <w:marBottom w:val="0"/>
          <w:divBdr>
            <w:top w:val="none" w:sz="0" w:space="0" w:color="auto"/>
            <w:left w:val="none" w:sz="0" w:space="0" w:color="auto"/>
            <w:bottom w:val="none" w:sz="0" w:space="0" w:color="auto"/>
            <w:right w:val="none" w:sz="0" w:space="0" w:color="auto"/>
          </w:divBdr>
        </w:div>
      </w:divsChild>
    </w:div>
    <w:div w:id="155655827">
      <w:bodyDiv w:val="1"/>
      <w:marLeft w:val="0"/>
      <w:marRight w:val="0"/>
      <w:marTop w:val="0"/>
      <w:marBottom w:val="0"/>
      <w:divBdr>
        <w:top w:val="none" w:sz="0" w:space="0" w:color="auto"/>
        <w:left w:val="none" w:sz="0" w:space="0" w:color="auto"/>
        <w:bottom w:val="none" w:sz="0" w:space="0" w:color="auto"/>
        <w:right w:val="none" w:sz="0" w:space="0" w:color="auto"/>
      </w:divBdr>
    </w:div>
    <w:div w:id="412239024">
      <w:bodyDiv w:val="1"/>
      <w:marLeft w:val="0"/>
      <w:marRight w:val="0"/>
      <w:marTop w:val="0"/>
      <w:marBottom w:val="0"/>
      <w:divBdr>
        <w:top w:val="none" w:sz="0" w:space="0" w:color="auto"/>
        <w:left w:val="none" w:sz="0" w:space="0" w:color="auto"/>
        <w:bottom w:val="none" w:sz="0" w:space="0" w:color="auto"/>
        <w:right w:val="none" w:sz="0" w:space="0" w:color="auto"/>
      </w:divBdr>
    </w:div>
    <w:div w:id="1016690562">
      <w:bodyDiv w:val="1"/>
      <w:marLeft w:val="0"/>
      <w:marRight w:val="0"/>
      <w:marTop w:val="0"/>
      <w:marBottom w:val="0"/>
      <w:divBdr>
        <w:top w:val="none" w:sz="0" w:space="0" w:color="auto"/>
        <w:left w:val="none" w:sz="0" w:space="0" w:color="auto"/>
        <w:bottom w:val="none" w:sz="0" w:space="0" w:color="auto"/>
        <w:right w:val="none" w:sz="0" w:space="0" w:color="auto"/>
      </w:divBdr>
    </w:div>
    <w:div w:id="1080709636">
      <w:bodyDiv w:val="1"/>
      <w:marLeft w:val="0"/>
      <w:marRight w:val="0"/>
      <w:marTop w:val="0"/>
      <w:marBottom w:val="0"/>
      <w:divBdr>
        <w:top w:val="none" w:sz="0" w:space="0" w:color="auto"/>
        <w:left w:val="none" w:sz="0" w:space="0" w:color="auto"/>
        <w:bottom w:val="none" w:sz="0" w:space="0" w:color="auto"/>
        <w:right w:val="none" w:sz="0" w:space="0" w:color="auto"/>
      </w:divBdr>
    </w:div>
    <w:div w:id="1249653490">
      <w:bodyDiv w:val="1"/>
      <w:marLeft w:val="0"/>
      <w:marRight w:val="0"/>
      <w:marTop w:val="0"/>
      <w:marBottom w:val="0"/>
      <w:divBdr>
        <w:top w:val="none" w:sz="0" w:space="0" w:color="auto"/>
        <w:left w:val="none" w:sz="0" w:space="0" w:color="auto"/>
        <w:bottom w:val="none" w:sz="0" w:space="0" w:color="auto"/>
        <w:right w:val="none" w:sz="0" w:space="0" w:color="auto"/>
      </w:divBdr>
    </w:div>
    <w:div w:id="1493907132">
      <w:bodyDiv w:val="1"/>
      <w:marLeft w:val="0"/>
      <w:marRight w:val="0"/>
      <w:marTop w:val="0"/>
      <w:marBottom w:val="0"/>
      <w:divBdr>
        <w:top w:val="none" w:sz="0" w:space="0" w:color="auto"/>
        <w:left w:val="none" w:sz="0" w:space="0" w:color="auto"/>
        <w:bottom w:val="none" w:sz="0" w:space="0" w:color="auto"/>
        <w:right w:val="none" w:sz="0" w:space="0" w:color="auto"/>
      </w:divBdr>
    </w:div>
    <w:div w:id="1657613938">
      <w:bodyDiv w:val="1"/>
      <w:marLeft w:val="0"/>
      <w:marRight w:val="0"/>
      <w:marTop w:val="0"/>
      <w:marBottom w:val="0"/>
      <w:divBdr>
        <w:top w:val="none" w:sz="0" w:space="0" w:color="auto"/>
        <w:left w:val="none" w:sz="0" w:space="0" w:color="auto"/>
        <w:bottom w:val="none" w:sz="0" w:space="0" w:color="auto"/>
        <w:right w:val="none" w:sz="0" w:space="0" w:color="auto"/>
      </w:divBdr>
    </w:div>
    <w:div w:id="1681196647">
      <w:bodyDiv w:val="1"/>
      <w:marLeft w:val="0"/>
      <w:marRight w:val="0"/>
      <w:marTop w:val="0"/>
      <w:marBottom w:val="0"/>
      <w:divBdr>
        <w:top w:val="none" w:sz="0" w:space="0" w:color="auto"/>
        <w:left w:val="none" w:sz="0" w:space="0" w:color="auto"/>
        <w:bottom w:val="none" w:sz="0" w:space="0" w:color="auto"/>
        <w:right w:val="none" w:sz="0" w:space="0" w:color="auto"/>
      </w:divBdr>
    </w:div>
    <w:div w:id="1828597016">
      <w:bodyDiv w:val="1"/>
      <w:marLeft w:val="0"/>
      <w:marRight w:val="0"/>
      <w:marTop w:val="0"/>
      <w:marBottom w:val="0"/>
      <w:divBdr>
        <w:top w:val="none" w:sz="0" w:space="0" w:color="auto"/>
        <w:left w:val="none" w:sz="0" w:space="0" w:color="auto"/>
        <w:bottom w:val="none" w:sz="0" w:space="0" w:color="auto"/>
        <w:right w:val="none" w:sz="0" w:space="0" w:color="auto"/>
      </w:divBdr>
    </w:div>
    <w:div w:id="1935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12C3-A022-479C-9779-50B409D7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Юлия</dc:creator>
  <cp:keywords/>
  <dc:description/>
  <cp:lastModifiedBy>Ильина Юлия</cp:lastModifiedBy>
  <cp:revision>4</cp:revision>
  <cp:lastPrinted>2025-08-20T08:19:00Z</cp:lastPrinted>
  <dcterms:created xsi:type="dcterms:W3CDTF">2026-02-03T03:17:00Z</dcterms:created>
  <dcterms:modified xsi:type="dcterms:W3CDTF">2026-02-03T03:53:00Z</dcterms:modified>
</cp:coreProperties>
</file>